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259 vom 19. März 2015</w:t>
      </w:r>
    </w:p>
    <w:p>
      <w:r>
        <w:t>VD Tribunal cantonal, 2015-03-19, FR</w:t>
      </w:r>
    </w:p>
    <w:p>
      <w:r>
        <w:rPr>
          <w:b/>
        </w:rPr>
        <w:t xml:space="preserve">Quelle: </w:t>
      </w:r>
      <w:r>
        <w:t>https://mcp.opencaselaw.ch/entscheid/vd_findinfo_HC___2015___259</w:t>
      </w:r>
    </w:p>
    <w:p>
      <w:r>
        <w:t>FR: VD_FINDINFO HC / 2015 / 259 du 19 mars 2015</w:t>
      </w:r>
    </w:p>
    <w:p>
      <w:r>
        <w:t>IT: VD_FINDINFO HC / 2015 / 259 del 19 marzo 2015</w:t>
      </w:r>
    </w:p>
    <w:p>
      <w:pPr>
        <w:pStyle w:val="Heading2"/>
      </w:pPr>
      <w:r>
        <w:t>Regeste</w:t>
      </w:r>
    </w:p>
    <w:p>
      <w:r>
        <w:t>MESURE PROVISIONNELLE, OBLIGATION D'ENTRETIEN, ENFANT, CONJOINT, REVENU HYPOTHÉTIQUE, ACTIVITÉ LUCRATIVE INDÉPENDANTE | 176 al. 1 ch. 1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vaudoise (JT 2011 III 43, RSPC 2011 p. 320, note approbatrice de Tappy) considère qu'en appel les novas, lorsque la maxime inquisitoire est applicable, soit notamment en mesures protectrices de l'union conjugale (art. 272 CPC) et en mesures provisionnelles dans une procédure matrimoniale (art. 277 al. 3 CPC), sont soumis au régime ordinaire. Des novas peuvent toutefois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(Procédure civile, Tome II, 2 e éd., Berne 2010, n. 2415 p. 438; JT 2011 III 43). Il n’est cependant pas insoutenable d’appliquer strictement l’art. 317 CPC dans tous les litiges auxquels s’applique la maxime inquisitoire, même concernant des contributions envers les enfants (TF 5A_342/2013 du 27 septembre 2013 c. 4.1.2; TF 5A_22/2014 du 13 mai 2014 c. 4.2., RSPC 2014 p. 456, qui relève que la question de principe n'a pas encore été tranchée). Outre les pièces de forme et les pièces figurant déjà au dossier de première instance, l'appelante a produit les budgets mensuels de son revenu d'insertion pour les mois d'octobre 2014 à janvier 2015, ainsi que des offres d'emploi d'aide de salle d'opération prélevées sur Internet en janvier 2015. L'appelante n'indique pas pour quelle raison les pièces relatives aux mois d'octobre à décembre 2014 n'ont pas pu être produites en première instance. Dès lors, au vu de la jurisprudence précitée, seule les pièces postérieures aux débats du 4 décembre 2014 seront prises en compte.</w:t>
      </w:r>
    </w:p>
    <w:p>
      <w:r>
        <w:rPr>
          <w:b/>
        </w:rPr>
        <w:t>E. 3</w:t>
      </w:r>
    </w:p>
    <w:p>
      <w:r>
        <w:t>a) L'appelante conteste le montant de la contribution d'entretien fixée dans l'ordonnance attaquée. Elle reproche au premier juge d'avoir retenu que l'intimé avait cessé son activité au sein de la clinique [...] pour des raisons de santé, alors qu'il n'avait produit aucun certificat médical à l'appui de cette allégation. Selon elle, il aurait pris seul la décision de cesser son activité salariée et de s'engager auprès de l'épicerie [...], et elle n'aurait participé à aucune de ces décisions. Elle soutient en outre que l'épicerie ne réaliserait de loin pas le bénéfice de 2'100 fr. retenu par le premier juge, l'intimé ayant d'ailleurs affirmé devant le premier juge qu'il envisageait de mettre un terme à son activité au vu du manque de rentabilité du commerce. Il y aurait ainsi lieu de considérer que l'intimé ne réalisait plus aucun revenu depuis le mois d'octobre 2014. Elle estime enfin qu'un revenu hypothétique de 6'100 fr. doit être imputé à l'intimé, dès lors que, après plus d'un an et demi d'activité, son commerce ne se développe pas et qu'au vu de son état de santé, de son âge et de son expérience, rien ne l'empêche de reprendre son ancien emploi. b)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Le principe du clean break ne joue par conséquent aucun rôle dans le cadre des mesures provisionnelles. De même, à lui seul, le fait que l'épouse dispose d'un disponible après couverture de son minimum vital n'est pas décisif non plus (TF 5A_228/2012 du 11 juin 2012 c. 4.3).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 er décembre 2011 c. 5.1.; TF 5A_228/2012 du 11 juin 2012 c. 4.3).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137 III 102 c. 4.2.2.2; ATF 128 III 4 c. 4 p. 5 ss; 127 III 136 c. 2a in fine p. 139).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ATF 114 II 301 c. 3a). S'il entend exiger de lui qu'il reprenne une activité lucrative, le juge doit lui accorder un délai d'adaptation approprié : l'époux doit avoir en effet suffisamment de temps pour s'adapter à sa nouvelle situation, notamment lorsqu'il doit trouver un emploi. Ce délai doit par ailleurs être fixé en fonction des circonstances concrètes du cas particulier (ATF 129 III c. 2; ATF 114 II 13 c. 5; sur tous ces points TF 5A_743/2010 du 10 février 2011 c. 4). S’agissant du salaire, le juge peut éventuellement se baser sur l'enquête suisse sur la structure des salaires réalisée par l'Office fédéral de la statistique, ou sur d'autres sources telles que des conventions collectives de travail (Mühlhauser, Das Lohnbuch 2010, Mindestlöhne sowie orts- und berufübliche Löhne in der Schweiz, Zurich 2010 ; ATF 137 III 118 précité c. 3.2 ; TF 5A_99/2011 du 26 septembre 2011 c. 7.4.1 publié in FamPra.ch 2012, p. 228 ; TF 5A_860/2011 du 11 juin 2012 c. 4.1). La fixation d’un délai d’adaptation de deux à trois ans à compter du début d’une activité indépendante, pour arriver à une capacité de gain pleine et entière, est conforme à l’expérience de la vie. Durant cette période, il est ainsi arbitraire de considérer, sans autres justification, que l’intéressé pourrait être astreint à exercer une activité accessoire pour épuiser sa capacité de gain et de retenir dans cette mesure un revenu hypothétique (De Luze/Page/Stoudmann, Droit de la famille, Code annoté, Lausanne 2010, n. 1.23 ad art. 176 CC). c) En l'espèce, l'appelante conclut au paiement d'une contribution d'entretien d'un montant global minimal de 2'900 fr., faisant valoir que son époux serait à même de percevoir un revenu de 6'100 fr. par mois. Or, contrairement à ce qu'elle allègue dans son appel, elle avait soutenu son époux en 2013 dans son nouveaux choix professionnel puisqu'elle avait donné son accord au retrait de son deuxième pilier pour financer l'ouverture d'une épicerie. Ensuite, au moment de la séparation, elle avait conscience de la capacité contributive diminuée de l'intimé en convenant avec celui-ci du paiement d'une contribution d'entretien de 1'500 francs. Certes, l'intimé est tenu de tout mettre en œuvre pour retrouver une situation financière équilibrée et de pourvoir à l'entretien de sa famille. Il a manifestement subi une dégradation de sa situation socio-professionnelle, mais il n'est pas avéré que cette détérioration serait due à sa propre faute. Il serait en outre délicat d'exiger de l'intimé qu'il reprenne, en l'état, un emploi d'aide en salle d'opérations, profession demandant un sens de la rigueur aigu et une grande résistance au stress, alors que l'appelante confirme qu'il a quitté son emploi en 2013 car il ne supportait plus la pression inhérente à ce métier et qu'il connaissait des problèmes d'alcool. Quoi qu'il en soit, il paraît prématuré d'imputer un revenu hypothétique aussi élevé à l'intimé seulement un an et demi après qu'il a débuté, d'entente avec son épouse, une activité indépendante. Un tel délai n'apparaît en effet pas suffisant pour constater objectivement l'échec de son entreprise, ce d'autant que rien n'indique qu'il ait effectivement prévu d'abandonner cette activité, et le bilan de l'année 2014 n'est pas connu. A cet égard, le fait de ne pas s'acquitter de sa contribution d'entretien ne constitue pas en soi la preuve qu'il ne perçoit plus aucun revenu et l'argumentation de l'appelante, qui requiert le paiement d'une pension de presque 3'000 fr. depuis le 1 er décembre 2014 tout en soutenant que son époux n'a aucun revenu, apparaît contradictoire. Il y a au contraire lieu d'attendre à tout le moins un laps de temps de deux ans, soit jusqu'en août 2015, pour établir un bilan de la nouvelle activité de l'intimé et afin également de lui permettre, dans l'intervalle, de se relever professionnellement. S'il s'avère alors que son commerce est durablement déficitaire, il lui appartiendra de se réorienter professionnellement et un revenu hypothétique pourra, le cas échéant, lui être imputé.</w:t>
      </w:r>
    </w:p>
    <w:p>
      <w:r>
        <w:rPr>
          <w:b/>
        </w:rPr>
        <w:t>E. 4</w:t>
      </w:r>
    </w:p>
    <w:p>
      <w:r>
        <w:t>En définitive, l’appel doit être rejeté et l'ordonnance confirmée. Les frais judiciaires de deuxième instance, arrêtés à 600 fr. (65 al. 2 TFJC [tarif des frais judiciaires civils du 28 septembre 2010, RSV 270.11.5]) pour l'appelante, qui succombe (art. 106 al. 1 CPC), seront laissés à la charge de l’Etat. Dans sa liste d’opérations produite le 18 mars 2015, Me Amélie Giroud a annoncé des opérations d'une durée de 12 heures et 30 minutes, effectuées intégralement par sa stagiaire, ainsi que des frais et débours par 51 fr. 20, comprenant 34 fr. 50 de photocopies, 16 fr. 60 de frais de port et 80 centimes de frais de téléphone. Parmi ces postes, les frais de photocopies et de téléphone constituent des frais généraux et ne seront pas pris en compte. Me Giroud a en outre annoncé des frais de vacation par 80 fr., et indiqué ne pas être soumise à la TVA. Il s’ensuit qu’au tarif horaire de 110 fr. pour un stagiaire (art. 2 al. 1 RAJ [règlement sur l’assistance judiciaire en matière civile du 7 décembre 2010, RSV 211.02.4]), l’indemnité de Me Amélie Giroud doit être fixée à 1'471 fr. 60, comprenant des honoraires par 1'375 fr., des frais de vacation par 80 fr. et des autres débours par 16 fr. 60. La bénéficiaire de l’assistance judiciaire est, dans la mesure de l’art. 123 CPC, tenue au remboursement des frais judiciaires et de l’indemnité au conseil d’office mis à la charge de l’Etat. Il n'y a pas lieu à l'allocation de dépens, l'intimé n'ayant pas procédé. Par ces motifs, le juge délégué de la Cour d’appel civile du Tribunal cantonal, prononce : I. L’appel est rejeté. II. L'ordonnance est confirmée. III. Les frais judiciaires de deuxième instance, arrêtés à 600 fr. (six cents francs), sont laissés à la charge de l'Etat. IV. L’indemnité d’office de Me Amélie Giroud, conseil de l'appelante, est arrêtée à 1'471 fr. 60 (mille quatre cent septante-et-un francs et soixante centimes), débours compris. V. La bénéficiaire de l’assistance judiciaire est, dans la mesure de l’art. 123 CPC, tenue au remboursement des frais judiciaires et de l’indemnité au conseil d’office mis à la charge de l’Etat. VI. L'arrêt est exécutoire. Le juge délégué : La greffière : Du L'arrêt qui précède, dont la rédaction a été approuvée à huis clos, est notifié à : ‑ Me Amélie Giroud (pour C.G.________), ‑ M.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