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256 vom 25. Februar 2015</w:t>
      </w:r>
    </w:p>
    <w:p>
      <w:r>
        <w:t>VD Tribunal cantonal, 2015-02-25, FR</w:t>
      </w:r>
    </w:p>
    <w:p>
      <w:r>
        <w:rPr>
          <w:b/>
        </w:rPr>
        <w:t xml:space="preserve">Quelle: </w:t>
      </w:r>
      <w:r>
        <w:t>https://mcp.opencaselaw.ch/entscheid/vd_findinfo_HC___2015___256</w:t>
      </w:r>
    </w:p>
    <w:p>
      <w:r>
        <w:t>FR: VD_FINDINFO HC / 2015 / 256 du 25 février 2015</w:t>
      </w:r>
    </w:p>
    <w:p>
      <w:r>
        <w:t>IT: VD_FINDINFO HC / 2015 / 256 del 25 febbraio 2015</w:t>
      </w:r>
    </w:p>
    <w:p>
      <w:pPr>
        <w:pStyle w:val="Heading2"/>
      </w:pPr>
      <w:r>
        <w:t>Regeste</w:t>
      </w:r>
    </w:p>
    <w:p>
      <w:r>
        <w:t>AVANCE DE FRAIS, CONJOINT, MESURE PROVISIONNELLE | 153 CC, 59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3</w:t>
      </w:r>
    </w:p>
    <w:p>
      <w:r>
        <w:t>a) L'appelant soutient que c'est à tort que le premier juge s'est basé sur les chiffres retenus dans l'ordonnance de mesures provisionnelles du 14 août 2013 et a retenu que l'intimée ne disposait que d'un montant de 206 fr. 75 par mois pour financer ses frais judiciaires. Selon lui, il a par ce biais omis de prendre en considération le résultat de l'instruction survenu après cette ordonnance, soit notamment les pièces produites par l'intimée le 9 octobre 2014, lesquelles permettraient de constater que les charges de celle-ci seraient moindres. L'intimée conteste les griefs de l'appelant faisant valoir, d'une part, qu'il tenterait par ce biais de remettre en cause l'ordonnance précitée, laquelle serait définitive et exécutoire et, d'autre part, que l'octroi d'une pension ad litem serait motivé par le refus de l'appelant de verser à son épouse la moitié des revenus extraordinaires qu'il perçoit annuellement. b) D’après la jurisprudence, une provision ad litem est due au conjoint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 4; TF 5A_784/2008 du 20 novembre 2009 c. 2). Le fondement de cette prestation - devoir d’assistance (art. 159 al. 3 CC [Code civil suisse du 10 décembre 1907, RS 210]) ou obligation d’entretien (art. 163 CC) - est controversé, mais cet aspect n’a pas d’incidence sur les conditions qui président à son octroi (ATF 138 III 672 c. 4.2.1). L’obligation de fournir une provisio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références citées). La provisio ad litem, qui constitue en définitive une prétention en entretien de l'un des époux, est soumise au principe de disposition (TF 5A_704/2013 c. 3.4, non publié in ATF 140 III 231). c) Le premier juge a considéré que, si Q.________ ne s'acquittait pas seulement des contributions calculées sur la base de la part fixe de son revenu, mais également de celles découlant des bonus annuels, N.________ n'aurait nul besoin d'une provisio ad litem. Se basant sur les chiffres figurant dans l'ordonnance du 14 août 2013, il a retenu que N.________ ne bénéficiait ainsi que d'un disponible de 206 fr. 75 par mois pour financer ses frais d'avocat et les frais d'exécution forcée du partage des bonus, ce qui était insuffisant. Il a dès lors condamné Q.________ à verser à N.________ une provisio ad litem couvrant l'avance de frais d'exécution forcée du partage des bonus, soit 2'000 fr. d'avance fixée par l'ordonnance du 10 décembre 2014 et 5'000 fr. pour les frais d'avocat nécessaires pour obtenir au besoin l'exécution forcée. d) C'est à juste titre que l'appelant soutient que le premier juge s'est référé à tort aux chiffres retenus dans l'ordonnance du 14 août 2013, alors que dans l'intervalle des pièces ont été produites permettant de constater que les charges de l'intimée étaient inférieures à ce qui avait été retenu dans un premier temps. En particulier, il découle des extraits de son compte bancaire que son loyer s'élève vraisemblablement à 1'980 francs. De ce montant, il convient de déduire la part au logement des enfants de 40%, étant donné que les contributions des enfants et celle de l'intimée ont été calculées séparément. Ainsi, un montant de 792 fr. doit être retenu à titre de loyer (40% de 1'980 fr.). Quant à la charge fiscale, celle-ci est passée de 3'300 fr. à un montant inférieur à 1'000 fr. comme l'indique l'avis de taxation du Service cantonal des contributions du Canton de Fribourg du 20 septembre 2012 pour la période 2012. Dans ces conditions, il incombait au premier juge, au moment de décider si l'intimée disposait de moyens suffisants pour assumer les frais du procès, de prendre en considération la situation effective actuelle et non pas celle qui avait été retenue quelque 18 mois auparavant. On ne saurait pour le surplus suivre l'intimée lorsqu'elle invoque le caractère définitif et exécutoire de l'ordonnance du 14 août 2013, étant donné que celle-ci ne concerne pas la provisio ad litem. Cela étant, l'appelant devant bénéficier de la garantie de la double instance – ce qui ne serait pas le cas si le calcul du montant à disposition de l'intimée n'était effectué qu'en appel – , il y a lieu de renvoyer la cause au premier juge.</w:t>
      </w:r>
    </w:p>
    <w:p>
      <w:r>
        <w:rPr>
          <w:b/>
        </w:rPr>
        <w:t>E. 4</w:t>
      </w:r>
    </w:p>
    <w:p>
      <w:r>
        <w:t>a) En définitive, l'appel doit être admis et l'ordonnance de mesures provisionnelles du 26 janvier 2015 annulée et renvoyée au premier juge pour compléter l'instruction et statuer dans le sens des considérants. b) Vu l'issue du litige, les frais judiciaires de deuxième instance, arrêtés à 600 fr. (art. 65 al. 2 TFJC [ tarif des frais judiciaires civils du 28 septembre 2010, RSV270.11.5 ]), seront mis à la charge de l'intimée N.________. L’appelant obtient gain de cause a également droit à des dépens fixés à 1'000 fr. (art. 7 TDC [tarif des dépens en matière civile du 23 novembre 2010, RSV 270.11.6]). L'intimée lui versera ainsi la somme de 1'600 fr. à titre de dépens et de restitution d'avance de frais de deuxième instance. Par ces motifs, le Juge délégué de la Cour d’appel civile du Tribunal cantonal, prononce : I. L’appel est admis. II. L'ordonnance est annulée et la cause est renvoyée au Président du Tribunal civil de l'arrondissement de l'Est vaudois pour compléter l'instruction et statuer à nouveau. III. Les frais judiciaires de deuxième instance, arrêtés à 600 fr. (six cents francs), sont mis à la charge de l'intimée. IV. L'intimée N.________ doit verser à l'appelant Q.________ la somme de 1'600 fr. (mille six cent francs) à titre de dépens et de restitution d'avance de frais de deuxième instance. V. L'arrêt est exécutoire. Le Juge délégué : La greffière : Du L'arrêt qui précède, dont la rédaction a été approuvée à huis clos, est notifié à : ‑ Me Alain Dubuis (pour Q.________), - Me Astyanax Peca (pour 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