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255 vom 3. März 2015</w:t>
      </w:r>
    </w:p>
    <w:p>
      <w:r>
        <w:t>VD Tribunal cantonal, 2015-03-03, FR</w:t>
      </w:r>
    </w:p>
    <w:p>
      <w:r>
        <w:rPr>
          <w:b/>
        </w:rPr>
        <w:t xml:space="preserve">Quelle: </w:t>
      </w:r>
      <w:r>
        <w:t>https://mcp.opencaselaw.ch/entscheid/vd_findinfo_HC___2015___255</w:t>
      </w:r>
    </w:p>
    <w:p>
      <w:r>
        <w:t>FR: VD_FINDINFO HC / 2015 / 255 du 3 mars 2015</w:t>
      </w:r>
    </w:p>
    <w:p>
      <w:r>
        <w:t>IT: VD_FINDINFO HC / 2015 / 255 del 3 marzo 2015</w:t>
      </w:r>
    </w:p>
    <w:p>
      <w:pPr>
        <w:pStyle w:val="Heading2"/>
      </w:pPr>
      <w:r>
        <w:t>Regeste</w:t>
      </w:r>
    </w:p>
    <w:p>
      <w:r>
        <w:t>RETRAIT{VOIE DE DROIT}, DÉPENS | 106 al. 1 CPC (CH), 107 al. 1 let. c CPC (CH), 107 al. 1 let. f CPC (CH), 110 CPC (CH), 122 CPC (CH), 319 let. b ch. 1 CPC (CH)</w:t>
      </w:r>
    </w:p>
    <w:p>
      <w:pPr>
        <w:pStyle w:val="Heading2"/>
      </w:pPr>
      <w:r>
        <w:t>Erwägungen</w:t>
      </w:r>
    </w:p>
    <w:p>
      <w:r>
        <w:rPr>
          <w:b/>
        </w:rPr>
        <w:t>E. 1.1</w:t>
      </w:r>
    </w:p>
    <w:p>
      <w:r>
        <w:t>Lorsque seule la décision sur les frais, qui comprennent les dépens (art. 95 al. 1 let. b CPC [Code de procédure civile du 19 décembre 2008 ; RS 272]), est litigieuse, elle ne peut être attaquée que par un recours (art. 110 et 319 let. b ch. 1 CPC; Tappy, CPC commenté, Bâle 2011, n. 3 ad art. 110 CPC, p. 437). Tel est le cas en espèce, la recourante contestant l'absence d'allocation de dépens. Le recours, écrit et motivé (art. 321 al. 1 CPC), est introduit auprès de la Chambre des recours civile (art. 73 al. 1 LOJV [Loi d'organisation judiciaire du 12 décembre 1979; RS 173.01]), dans les dix jours pour les décisions prises en procédure sommaire (art. 321 al. 2 CPC).</w:t>
      </w:r>
    </w:p>
    <w:p>
      <w:r>
        <w:rPr>
          <w:b/>
        </w:rPr>
        <w:t>E. 1.2</w:t>
      </w:r>
    </w:p>
    <w:p>
      <w:r>
        <w:t>En l'espèce, interjeté en temps utile par une partie qui y a un intérêt digne de protection (art. 59 al. 2 let. a CPC), le recours est formellement recevable.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3. La recourante invoque une violation des art. 95, 105, 106 et 122 CPC . Elle fait valoir que son conseil a dû consacrer près de 30 heures à la défense de ses intérêts et que, l'intimé s'étant désisté de ses conclusions par le retrait de sa requête de mesures protectrices de l'union conjugale, de plein dépens à hauteur de 5'467 fr. 75 auraient dû lui être alloués. 3.1 Les frais, qui comprennent les dépens (art. 95 al. 1 CPC), sont mis à la charge de la partie succombante. La partie succombante est le demandeur lorsque le tribunal n'entre pas en matière et en cas de désistement d'action;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pp. 419-420).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 p. 422). 3.2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du 23 novembre 2010 des dépens en matière civile (TDC ; RSV 270.11.6) (cf. art. 105 al. 2 CPC) qui prévoit en particulier que le défraiement du représentant est fixé selon le type de procédure et la valeur litigieuse de la cause (art. 3 TDC), cette dernière étant déterminée par les conclusions (art. 91 al. 1 CPC).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3.3 En l'espèce, la partie succombante en première instance est l'intimé dès lors qu'il a retiré sa requête, ce qui équivaut à un désistement d'action (art. 106 al. 1 CPC). Le litige au fond relève toutefois du droit de la famille, ce qui autorise le premier juge à opter pour une répartition des frais en équité. La décision n'étant pas motivée sur ce point, on ignore si le premier juge a fait usage de cette faculté. En tous les cas, il faut considérer que la situation des parties ne justifiait pas en soi de s'écarter pour des motifs d'équité d'une répartition conforme à l'art. 106 CPC, parce que celle-ci serait apparue choquante ou arbitraire. Il convient de relever que la recourante a été contrainte de se défendre dans une procédure qui a nécessité un travail important de la part de son conseil. Au surplus, les circonstances du cas, en particulier les situations personnelles économiques de chaque partie, ne semblent pas justifier une application de la clause générale de l'art. 107 al. 1 let. f CPC. L'intimé soutient avoir dû procéder en raison d'un manque de liquidités de la société Z.________SA, qui s'est résorbé par la suite sans qu'il ait pu l'anticiper. Pour autant que tel soit le cas, le premier juge aurait dû allouer à tout le moins des dépens réduits à la recourante. Par conséquent, il y a lieu d'annuler la décision querellée et de renvoyer la cause au premier juge pour qu’il statue sur les dépens. On notera par ailleurs que la décision entreprise ne fixe pas l'indemnité du conseil d'office de la recourante, alors que celle-ci bénéficiait de l'assistance judiciaire en première instance. En l'absence de conclusions sur ce point, la cour de céans ne peut statuer. Il appartiendra dès lors au premier juge de statuer également sur ce point. 4. 4.1 En définitive, le recours doit être partiellement admis, la décision annulée et la cause renvoyée au premier juge pour nouvelle décision dans le sens des considérants. 4.2 La recourante a requis le bénéfice de l’assistance judiciaire pour la procédure de recours. Une personne a droit à l’assistance judiciaire si elle ne dispose pas de ressources suffisantes et si sa cause ne paraît pas dépourvue de toute chance de succès (art. 117 CPC). En l’occurrence, la recourante remplit ces deux conditions cumulatives. Il y a dès lors lieu de lui accorder l’assistance judiciaire dans la procédure de recours avec effet au 23 décembre 2014, Me Cyrille Bugnon étant désigné conseil d’office et l’intéressée étant exonérée de toute franchise mensuelle au vu de sa situation financière (art. 118 al. 2 CPC). Me Cyrille Bugnon a droit à une rémunération équitable pour ses opérations et débours dans la procédure de recours (art. 122 al. 1 let. a CPC). Celui-ci a produit, en date du 19 février 2015, une liste des opérations selon laquelle 38.50 heures ont été consacrées aux opérations effectuées depuis le 30 juin 2014. La décision entreprise ayant été rendue le 17 décembre 2014, les opérations antérieures à cette date n'ont toutefois pas à être prises en compte. Elles devront faire l'objet d'un décompte séparé à soumettre au premier juge (cf. c. 3.3 ci-dessus). Il ne doit pas non plus être tenu compte des opérations qui ne concernent pas la procédure de recours (pex. réquisition de poursuite et courrier à l'office des poursuites). En définitive, on doit admettre que le conseil d'office a consacré 8.6 heures à la procédure de recours, dont 4.6 heures pour la rédaction du recours par l'avocat-stagiaire. L'indemnité d'office due Me Bugnon, calculée au tarif horaire de 180 fr. pour le travail d'avocat et de 110 fr. pour celui de l'avocat-stagiaire (art. 2 al. 1 let. a et b RAJ), doit ainsi être arrêtée à 1'226 fr. pour ses honoraires ([4 x 180 fr.] + [4.6 x 110 fr]), plus 98 fr. de TVA au taux de 8% et un montant de 54, TVA comprise, pour ses débours (art. 3. al. 3 RAJ), soit une indemnité totale de 1'378 francs. La bénéficiaire de l’assistance judiciaire est, dans la mesure de l’art. 123 CPC, tenue au remboursement des frais judiciaires et de l’indemnité du conseil d’office mis à la charge de l’Etat. 4.3 La recourante obtenant partiellement gain de cause, les frais judiciaires de deuxième instance, arrêtés à 400 fr. (art. 69 al. 1 TFJC [tarif des frais judiciaires civils du 28 septembre 2010, RSV 270.11.5]), sont laissés à la charge de l'Etat, par 200 fr., et mis à la charge de l'intimé, par 200 fr. (art. 106 al. 2, 122 CPC). L'intimé doit verser à la recourante la somme de 500 fr. (art. 8 al. 1 TDC), à titre de dépens réduits de deuxième instance (art. 106 al. 2 CPC). Par ces motifs, la Chambre des recours civile du Tribunal cantonal, prononce : I. Le recours est partiellement admis. II. La décision est annulée. III. La cause est renvoyée à la présidente du Tribunal d’arrondissement de l’Est vaudois pour nouvelle décision dans le sens des considérants. IV. La requête d’assistance judiciaire d’F.________ est admise, Me Cyrille Bugnon étant désigné conseil d’office avec effet au 23 décembre 2014 dans la procédure de recours. V. Les frais judiciaires de deuxième instance, arrêtés à 400 fr. (quatre cents francs), sont laissés à la charge de l’Etat, par 200 fr. (deux cents francs), et mis à la charge de l’intimé, par 200 fr. (deux cents francs). VI. L’indemnité d’office de Me Bugnon, conseil de la recourante, est arrêtée à 1'378 (mille trois cents septante-huit francs), TVA et débours compris. VII. La bénéficiaire de l’assistance judiciaire est, dans la mesure de l’art. 123 CPC, tenue au remboursement de l’indemnité au conseil d’office mis à la charge de l’Etat. VIII. L’intimé A.L.________ doit verser à la recourante la somme de 500 fr. (cinq cents francs), à titre de dépens de deuxième instance. IX. L’arrêt motivé est exécutoire. Le président :               La greffière : Du 4 mars 2015 Le dispositif de l'arrêt qui précède est communiqué par écrit aux intéressés. La greffière : Du L'arrêt qui précède, dont la rédaction a été approuvée à huis clos, est notifié en expédition complète, par l'envoi de photocopies, à : ‑ Me Cyrille Bugnon (pour F.________), ‑ Me Regina Andrade Ortuno (pour A.L.________).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