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254 vom 26. Februar 2015</w:t>
      </w:r>
    </w:p>
    <w:p>
      <w:r>
        <w:t>VD Tribunal cantonal, 2015-02-26, FR</w:t>
      </w:r>
    </w:p>
    <w:p>
      <w:r>
        <w:rPr>
          <w:b/>
        </w:rPr>
        <w:t xml:space="preserve">Quelle: </w:t>
      </w:r>
      <w:r>
        <w:t>https://mcp.opencaselaw.ch/entscheid/vd_findinfo_HC___2015___254</w:t>
      </w:r>
    </w:p>
    <w:p>
      <w:r>
        <w:t>FR: VD_FINDINFO HC / 2015 / 254 du 26 février 2015</w:t>
      </w:r>
    </w:p>
    <w:p>
      <w:r>
        <w:t>IT: VD_FINDINFO HC / 2015 / 254 del 26 febbraio 2015</w:t>
      </w:r>
    </w:p>
    <w:p>
      <w:pPr>
        <w:pStyle w:val="Heading2"/>
      </w:pPr>
      <w:r>
        <w:t>Regeste</w:t>
      </w:r>
    </w:p>
    <w:p>
      <w:r>
        <w:t>PROTECTION DE L'UNION CONJUGALE, RELATIONS PERSONNELLES, CURATELLE ÉDUCATIVE | 273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w:t>
      </w:r>
    </w:p>
    <w:p>
      <w:r>
        <w:rPr>
          <w:b/>
        </w:rPr>
        <w:t>E. 2</w:t>
      </w:r>
    </w:p>
    <w:p>
      <w:r>
        <w:t>LOJV [Loi d’organisation judiciaire du 12 décembre 1979,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 n. 6 ad art. 310 CPC, pp. 1249 s.). Le large pouvoir d’examen en fait et en droit ainsi défini s’applique même si la décision attaquée est de nature provisionnelle (JT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 n. 6 ad art. 317 CPC, p. 1265). Toutefois, des novas peuvent être en principe librement introduits dans les causes régies par la maxime inquisitoire illimitée, par exemple sur la situation des enfants mineurs en droit matrimonial (Tappy, Les voies de droit du nouveau Code de procédure civile, JT 2010 III 115, spéc. pp. 136-137 ; Jeandin, CPC commenté, n. 5 ad art. 296 CPC et les références citées). En l'espèce, la cause est régie par la maxime inquisitoire illimitée, de sorte que les pièces produites en deuxième instance sont recevables. Elles sont prises en compte dans la mesure de leur utilité pour l’examen de la cause.</w:t>
      </w:r>
    </w:p>
    <w:p>
      <w:r>
        <w:rPr>
          <w:b/>
        </w:rPr>
        <w:t>E. 3.1</w:t>
      </w:r>
    </w:p>
    <w:p>
      <w:r>
        <w:t>L’appelante soutient en substance que la mise en place d’un mandat de surveillance à forme de l’art. 307 al. 3 CC n’est pas suffisant et que, compte tenu des faits et de la personnalité de l’intimé, l’exercice du droit de visite doit être subordonné à un cadre extrêmement strict. Le père doit démontrer de manière réelle sa capacité à s’occuper de sa fille [...] et, surtout, l’absence de risque lorsqu’elle est auprès de lui. Se référant à la situation personnelle de F.________, qui a donné lieu à l’arrêt rendu le 14 décembre 2012 par le Juge délégué de la Cour d’appel civile, l’appelante relève en particulier que l’intimé est suivi par la même thérapeute qu’à l’époque, dont les propos n’ont pas été tenus pour neutres dans l’arrêt précité. S’agissant des déclarations du Dr [...], l’appelante relève que l’expert n’a vu l’intimé qu’une seule fois et que le mandat confié à la Fondation de Nant n’était pas d’expertiser l’un ou l’autre des parents, mais de tenter de dénouer les relations entre parties.</w:t>
      </w:r>
    </w:p>
    <w:p>
      <w:r>
        <w:rPr>
          <w:b/>
        </w:rPr>
        <w:t>E. 3.2</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[Code civil suisse du 10 décembre 1907; RS 210]). L'art. 273 al. 1 CC en particulier prévoit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2010, n. 20 ad art. 176 CC, p. 1240 ; TF 5A_826/2009 du 22 mars 2010 c. 2.1). Pour prendre une telle décision, le juge des mesures protectrices dispose d’un large pouvoir d’appréciation au sens de l’art. 4 CC et fait application du principe de proportionnalité (Chaix, op. cit ., nn. 1 et 20 ad art. 176 CC, p. 1234 et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 TF 5A_716/2010 du 23 février 2011 c. 4 et les références citées, FamPra.ch 2011 p. 491; ATF 131 III 209 c. 5; 123 III 445 c.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de son état de santé, de ses loisirs, etc. La notion que l'enfant a du temps – selon son âge – est également importante: ainsi, de fréquentes rencontres de quelques heures peuvent être plus appropriées pour des enfants en bas âge que des week-ends entiers (Leuba, Commentaire romand, nn. 14s ad art. 273 CC). Des conditions particulières pour l'exercice du droit de visite peuvent en outre être imposées (Hegnauer, op. cit .,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 TF 5P.33/2001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 5.1.2 ; TF 5A_663/2012 du 12 mars 2013 c. 4.1 publié in FamPra.ch 2013 p. 806 ; TF 5A_172/2012 du 16 mai 2012 c. 4.1.1, rés. in RMA 2012 p. 300) Conformément au principe de proportionnalité, il importe en outre que cette menace ne puisse être écartée par d'autres mesures appropriées (TF 5A_448/2008 du 2 octobre 2008 ; TF 5P.131/2006 du 25 août 2006 publié in FamPra.ch 2007 p. 167 ; ATF 131 III 209, JT 2005 I 2002 ; ATF 118 II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5P.131/2006 du 25 août 2006 précité ; Hegnauer, op. cit .,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173). A teneur de l'art. 307 CC, l'autorité de protection de l'enfant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Droit de la filiation, 4 e éd., Bâle 2009, n. 1138, p. 658). Pour éviter l'intervention des autorités, les parents doivent remédier à la situation, par exemple en acceptant l'assistance des institutions d'aide à la jeunesse (Hegnauer, op. cit., n. 27.14, p. 186).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l'autorité parentale aussi peu que possible mais autant que nécessaire (principe de proportionnalité; Message, FF 1974 II p. 84; Hegnauer, op. cit., n. 27.09, p. 185, et les références citées).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elle a un droit de regard et peut recueillir des renseignements auprès des intéressés et de tiers dans la mesure nécessaire à l'accomplissement de sa mission (Hegnauer, op. cit., n. 27.17, p. 187).</w:t>
      </w:r>
    </w:p>
    <w:p>
      <w:r>
        <w:rPr>
          <w:b/>
        </w:rPr>
        <w:t>E. 3.3</w:t>
      </w:r>
    </w:p>
    <w:p>
      <w:r>
        <w:t>En l’espèce, les experts ont préconisé dans leur rapport du 27 mai 2013, basé sur deux entretiens personnels avec le père, un entretien personnel avec la mère et un entretien en présence de chacun des parents avec sa fille – et non sur une seule conversation comme le soutient l’appelante –, un regard de surveillance par le SPJ. Dans une note intermédiaire du 8 octobre 2014, ils ont relevé qu’après une période de stabilité durant laquelle les parents étaient parvenus à se coordonner quant à la garde de [...] (la mère, reçue en consultation le 21 mai 2014, avait noté une nette amélioration par rapport à l’année précédente des moments que la fillette passait chez son père), la situation se péjorait à nouveau, apparaissait très fragile, et la présence du SPJ était primordiale. Le 11 novembre 2014, l’expert [...] a confirmé oralement au président que tout se passait bien si le planning était respecté à la lettre, mais que les conflits réactivaient les zones de sensibilité émotionnelle de chaque parent s’il y avait un petit grain de sable. L’expert a déclaré qu’il n’était pas en souci, les interférences n’ayant jusqu’alors pas modifié le développement psychique de [...] ; en revanche, si celles-ci devenaient quotidiennes, le développement de l’enfant pourrait en être affecté. Ce faisant, les experts, tenant compte de l’événement survenu en été 2014, préconisaient une nouvelle fois l’intervention du SPJ, par une mesure de surveillance, mais pas un placement de l’enfant. Le psychiatre traitant a produit deux certificats médicaux des 13 octobre 2014 et 22 janvier 2015 , attestant que l’état de santé psychiatrique de son patient ne conduisait à aucune mise en danger de qui que ce soit et qu’il y avait aucune contre-indication psychiatrique à ce qu’il puisse bénéficier de ses droits de visite et de vacances avec sa fille. Quant à l’épisode du mois d’août 2014, ce médecin a précisé le 13 octobre 2014 que l’état de santé de son patient était stabilisé, ce qui lui avait permis de recouvrer toutes ses fonctions habituelles. On peut relever à cet égard que l’intimé a à tout le moins évité de mettre en danger le bien être de son enfant en ne la raccompagnant pas en camping car en Suisse. S’agissant des doutes exprimées par l’appelante au sujet de la réalité des consultations de l’intimé avec sa psychiatre, ils pourront être levés, dès lors que l’ordonnance a enjoint à l’ORPM-Est de veiller au respect par F.________ d’une consultation non seulement par téléphone mais en cabinet, le prénommé s’exposant à ce que la réglementation de ses relations personnelles soit revue s’il devait apparaître qu’il ne se rend pas à la consultation de son psychiatre traitant, comme prévu par l’ordonnance entreprise. Il résulte de ce qui précède que le mandat de surveillance des relations personnelles, tel que prononcé par le premier juge, permettra un suivi des relations personnelles du père et de l’enfant et assurera une protection de celui-ci. Cette mesure apparaît en l’état adéquate et suffisante, au regard tant du bien de l’enfant que des inquiétudes exprimées par la mère, et répond aux exigences de proportionnalité, de sorte qu’il n’y a pas lieu, en l’état, de limiter le droit de visite du père, mais de confirmer la mise en oeuvre de l’ORPM-Est, telle qu’ordonnée par le premier juge. La mission confiée à celui-ci est suffisamment détaillée et tient bien compte, en l’état, des différents aspects soulevés par l’appelante dans son appel.</w:t>
      </w:r>
    </w:p>
    <w:p>
      <w:r>
        <w:rPr>
          <w:b/>
        </w:rPr>
        <w:t>E. 4</w:t>
      </w:r>
    </w:p>
    <w:p>
      <w:r>
        <w:t>Au vu de ce qui précède, l’appel doit être rejeté en application de l’art. 312 al. 1 CPC et l’ordonnance confirmée. Comme l'appel était dépourvu de chances de succès, la demande d'assistance judiciaire de l'appelante doit être rejetée (art. 117 let. b CPC) et les frais judiciaires de deuxième instance, arrêtés à 600 fr. (art. 65 al. 3 TFJC [tarif des frais judiciaires civils du 28 septembre 2010 : RSV 270.11.5]), mis à la charge de celle-ci, qui succombe. L'intimé n’a pas été invité à se déterminer ; il a déposé sans en avoir été sollicité un bref courrier en date du 24 février 2015, de sorte qu’il n’y a pas lieu à l’allocation de dépens. Par ces motifs, la Juge délégué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l’appelante L.________. V. Il n’est pas alloué de dépens. VI. L’arrêt motivé est exécutoire. La juge déléguée : Le greffier : Du 26 février 2015 Le dispositif de l'arrêt qui précède est communiqué par écrit aux intéressés. Le greffier : Du L'arrêt qui précède, dont la rédaction a été approuvée à huis clos, est notifié en expédition complète, par l'envoi de photocopies, à : ‑ Me Pierre-André Oberson (pour L.________), ‑ Me Frank Tièche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