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2015 / 251 vom 3. März 2015</w:t>
      </w:r>
    </w:p>
    <w:p>
      <w:r>
        <w:t>VD Tribunal cantonal, 2015-03-03, FR</w:t>
      </w:r>
    </w:p>
    <w:p>
      <w:r>
        <w:rPr>
          <w:b/>
        </w:rPr>
        <w:t xml:space="preserve">Quelle: </w:t>
      </w:r>
      <w:r>
        <w:t>https://mcp.opencaselaw.ch/entscheid/vd_findinfo_HC___2015___251</w:t>
      </w:r>
    </w:p>
    <w:p>
      <w:r>
        <w:t>FR: VD_FINDINFO HC / 2015 / 251 du 3 mars 2015</w:t>
      </w:r>
    </w:p>
    <w:p>
      <w:r>
        <w:t>IT: VD_FINDINFO HC / 2015 / 251 del 3 marzo 2015</w:t>
      </w:r>
    </w:p>
    <w:p>
      <w:pPr>
        <w:pStyle w:val="Heading2"/>
      </w:pPr>
      <w:r>
        <w:t>Regeste</w:t>
      </w:r>
    </w:p>
    <w:p>
      <w:r>
        <w:t>PROCÈS DEVENU SANS OBJET, DÉPENS | 242 CPC (CH)</w:t>
      </w:r>
    </w:p>
    <w:p>
      <w:pPr>
        <w:pStyle w:val="Heading2"/>
      </w:pPr>
      <w:r>
        <w:t>Erwägungen</w:t>
      </w:r>
    </w:p>
    <w:p>
      <w:r>
        <w:rPr>
          <w:b/>
        </w:rPr>
        <w:t>E. 3</w:t>
      </w:r>
    </w:p>
    <w:p>
      <w:r>
        <w:t>a) L’existence d’un intérêt du recourant – qui doit être juridique et non de fait – est une condition de recevabilité de tout recours (ATF 127 III 429; ATF 120 Il 7 c.2a; ATF 118 II 108 c. 2; JT 2001 II 13; ATF 107 lI 504 c. 3; Poudret, Commentaire de la loi fédérale d’organisation judiciaire, vol. Il, n. 5 ad art. 53 OJ, pp. 387 ss). Un recours peut devenir sans objet si l’intérêt fait défaut à la date de son dépôt ou en raison d’un fait postérieur à celui-ci (Poudret, op. cit., n. 5.5 ad art. 53 OJ et jurisprudence citée ad art. 72 PCF, sous n. 2 ad art. 40 OJ). La jurisprudence fait exception à l'exigence d'un intérêt actuel et pratique lorsque la contestation est susceptible de se reproduire en tout temps dans des circonstances identiques ou analogues, que sa nature ne permet pas de la trancher avant qu'elle ne perde son actualité et que, en raison de sa portée de principe, il existe un intérêt public suffisamment important à la solution de la question litigieuse (ATF 137 I 23 c. 1.3.1) b) Il ressort du ch. II/II de la convention que « [m]oyennant paiement du montant intégral figurant ci-dessus, I.________ SàrI déclare retirer toute poursuite et demander leur radiation au registre, requête d’inscription provisoire d’hypothèque légale, réclamation contre X.________ Sàrl ou contre tout tiers en relation avec Promotion « [...] », ch. [...] à [...] ». Par courrier adressé à la Justice de paix du district de la Riviera – Pays-d’Enhaut le 19 février 2015, la recourante a d’ailleurs retiré, en conséquence, toutes les requêtes d’inscriptions d’hypothèques légales déposées en l’invitant à rayer l’affaire du rôle et à établir un décompte final. Il y a dès lors lieu de considérer que le recours interjeté le 1 er décembre 2014 par I.________ Sàrl est devenu sans objet, avec la précision que, contrairement à ce que semble soutenir cette dernière, la décision d’irrecevabilité en cause ne constitue manifestement pas une décision de principe justifiant une exception à l’exigence d’un intérêt actuel et pratique au jugement de la cause. Il convient d’en prendre acte et de rayer la cause du rôle (art. 242 CPC [Code de procédure civile du 19 décembre 2008, RS 272]).</w:t>
      </w:r>
    </w:p>
    <w:p>
      <w:r>
        <w:rPr>
          <w:b/>
        </w:rPr>
        <w:t>E. 4</w:t>
      </w:r>
    </w:p>
    <w:p>
      <w:r>
        <w:t>Reste à trancher la question des frais. A cet égard, le chiffre III de la convention indique ce qui suit : « Les frais éventuels de procédure, de retrait, de poursuite, etc., sont pris en charge par I.________ Sàrl, à l’entière décharge de X.________ Sàrl ». Quant aux dépens, il est indiqué ce qui suit sous chiffre IV : « Les parties renoncent à l’allocation de dépens, chacune d’elles gardant à sa propre charge ses frais d’intervention ». Sur la base de ce qui précède, les frais judiciaires de deuxième instance, par 400 fr. (art. 69 al. 1 TFJC [tarif du 28 septembre 2010 des frais judiciaires civils, RSV 270.11.5]), doivent être mis à la charge de I.________ Sàrl. Quant aux dépens, il n’y a pas lieu d’en allouer à I.________ Sàrl, au regard du chiffre IV de la convention. Les intimés C.________ et T.________ AG ne sont pas parties à la convention. Le premier, dans la mesure où il n’est pas intervenu dans la procédure de recours, n’a pas droit à des dépens. T.________ AG s’est, pour sa part, déterminée à trois reprises. Dans la mesure où elle n’avait pas forcément à être interpellée dans le cadre de ce recours pour formalisme excessif qui est une forme de déni de justice (le recours n’est pas dirigé contre la partie adverse, mais contre le tribunal lui-même, cf. ATF 139 III 475, c. 3.3), les dépens doivent être mis à la charge de l’Etat de Vaud, à défaut d’une disposition exonérant celui-ci (art. 116 al. 1 CPC ; ATF 139 II 471 c. 3.3; CREC 18 novembre 2014/403). Ces dépens peuvent être fixés à 800 fr. (art. 8 TDC [tarif des dépens en matière civile; RSV 270.11.6]). Par ces motifs, la Chambre des recours civile du Tribunal cantonal, prononce : I. Le recours est sans objet. II. La cause est rayée du rôle. III. Les frais judiciaires de deuxième instance, arrêtés à 400 fr. (quatre cents francs), sont mis à la charge de la recourante I.________ Sàrl. IV. L’Etat de Vaud doit verser 800 fr. (huit cents francs) à T.________ AG à titre de dépens de deuxième instance. V. L’arrêt est exécutoire. Le président : La greffière : Du L'arrêt qui précède, dont la rédaction a été approuvée à huis clos, est notifié à : ‑ Me Olivier Couchepin (pour I.________ Sàrl) ; - Me Luc Del Rizzo (pour T.________ AG) ; - C.________. La Chambre des recours civile considère que la valeur litigieuse est inférieure à 30’000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 le Juge de paix du district de La Riviera – Pays-d’Enhaut .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