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 vom 15. Dezember 2014</w:t>
      </w:r>
    </w:p>
    <w:p>
      <w:r>
        <w:t>VD Tribunal cantonal, 2014-12-15, FR</w:t>
      </w:r>
    </w:p>
    <w:p>
      <w:r>
        <w:rPr>
          <w:b/>
        </w:rPr>
        <w:t xml:space="preserve">Quelle: </w:t>
      </w:r>
      <w:r>
        <w:t>https://mcp.opencaselaw.ch/entscheid/vd_findinfo_HC___2015___25</w:t>
      </w:r>
    </w:p>
    <w:p>
      <w:r>
        <w:t>FR: VD_FINDINFO HC / 2015 / 25 du 15 décembre 2014</w:t>
      </w:r>
    </w:p>
    <w:p>
      <w:r>
        <w:t>IT: VD_FINDINFO HC / 2015 / 25 del 15 dicembre 2014</w:t>
      </w:r>
    </w:p>
    <w:p>
      <w:pPr>
        <w:pStyle w:val="Heading2"/>
      </w:pPr>
      <w:r>
        <w:t>Regeste</w:t>
      </w:r>
    </w:p>
    <w:p>
      <w:r>
        <w:t>RÉPARTITION DES FRAIS | 106 al. 2 CPC (CH)</w:t>
      </w:r>
    </w:p>
    <w:p>
      <w:pPr>
        <w:pStyle w:val="Heading2"/>
      </w:pPr>
      <w:r>
        <w:t>Erwägungen</w:t>
      </w:r>
    </w:p>
    <w:p>
      <w:r>
        <w:rPr>
          <w:b/>
        </w:rPr>
        <w:t>E. 1</w:t>
      </w:r>
    </w:p>
    <w:p>
      <w:r>
        <w:t>a)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 et les références citées). Sous l’empire de la procédure fédérale, le renvoi prévu à l’art. 318 al. 1 let. c CPC a les mêmes conséquences (Jeandin, CPC commenté, 2011, n. 4 ad 318 CPC, p. 1268).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1990, n. 1.3.2 ad art. 66 OJ, p. 598 ; TF 5A_336/2008 du 28 août 2008 c. 1.3 et les références citées). Les considérants de l’arrêt retournant la cause pour nouvelle décision à l’autorité cantonale lient aussi le Tribunal fédéral et les parties (ATF 133 III 201 c. 4.2 ; 125 III 421 c. 2a). b) Le Tribunal fédéral a considéré que la question du paiement des charges de la villa, qui avait été réglée au point IV du jugement de divorce du 26 mai 2010 et implicitement confirmé par l'arrêt de la Chambre des recours du</w:t>
      </w:r>
    </w:p>
    <w:p>
      <w:r>
        <w:rPr>
          <w:b/>
        </w:rPr>
        <w:t>E. 6</w:t>
      </w:r>
    </w:p>
    <w:p>
      <w:r>
        <w:t>et les références). Le juge dispose d’une grande liberté d’appréciation, spécialement dans l’application du deuxième alinéa (parmi plusieurs : Tappy, CPC commenté, op. cit., n. 3 ad art. 106 CPC). b) En l’espèce, le recourant a obtenu gain de cause pour la reconnaissance du caractère exécutoire des chiffres IV, VIII et IX du dispositif du jugement de divorce. Il a cependant succombé pour le caractère exécutoire des chiffres III, VI, VII, la reconnaissance des autres chiffres du dispositif (I, II, V et X à XII) n’étant pas litigieuse dans la procédure de recours. Partant, et contrairement à ce qu’il soutient, le recourant n’a pas obtenu gain de cause sur l’essentiel du litige ; s’il est exact qu’il a gagné sur la question du paiement des charges de la villa, il a en revanche succombé sur l’indexation de la contribution d’entretien et sur celle sur l’inscription du transfert de propriété au Registre foncier. Ainsi, même si la question des charges immobilières est la plus importante économiquement, l’intimée a obtenu gain de cause sur plus de points litigieux. Il se justifie dès lors de compenser les dépens de deuxième instance. Les frais de deuxième instance, arrêtés à 300 fr. (art. 71 al. 1 TFJC [tarif des frais judiciaires civils du 28 septembre 2010, RSV 270.11.5]), seront en conséquence mis par 150 fr. à la charge du recourant W.________ et par 150 fr. à la charge de l’intimée O.________. L'intimée doit dès lors verser au recourant la somme de 150 fr. à titre de restitution d’avance de frais (art. 111 al. 2 CPC). Par ces motifs, la Chambre des recours civile du Tribunal cantonal, statuant à huis clos, prononce : I. Les frais judiciaires de deuxième instance, arrêtés à 300 fr. (trois cents francs), sont mis par 150 fr. (cent cinquante francs), à la charge du recourant W.________ et par 150 fr. (cent cinquante francs), à la charge de l’intimée O.________, qui en doit remboursement au recourant. II. Les dépens sont compensés. III. Le présent arrêt est exécutoire. Le président :               La greffière : Du L'arrêt qui précède, dont la rédaction a été approuvée à huis clos, est notifié à : ‑ Me Olivier Burnet (pour Ernst Büchi), ‑ Me Henriette Dénéréaz Luisier (pour Anne-Marie Eckert Büchi).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