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243 vom 4. März 2015</w:t>
      </w:r>
    </w:p>
    <w:p>
      <w:r>
        <w:t>VD Tribunal cantonal, 2015-03-04, FR</w:t>
      </w:r>
    </w:p>
    <w:p>
      <w:r>
        <w:rPr>
          <w:b/>
        </w:rPr>
        <w:t xml:space="preserve">Quelle: </w:t>
      </w:r>
      <w:r>
        <w:t>https://mcp.opencaselaw.ch/entscheid/vd_findinfo_HC___2015___243</w:t>
      </w:r>
    </w:p>
    <w:p>
      <w:r>
        <w:t>FR: VD_FINDINFO HC / 2015 / 243 du 4 mars 2015</w:t>
      </w:r>
    </w:p>
    <w:p>
      <w:r>
        <w:t>IT: VD_FINDINFO HC / 2015 / 243 del 4 marzo 2015</w:t>
      </w:r>
    </w:p>
    <w:p>
      <w:pPr>
        <w:pStyle w:val="Heading2"/>
      </w:pPr>
      <w:r>
        <w:t>Regeste</w:t>
      </w:r>
    </w:p>
    <w:p>
      <w:r>
        <w:t>MESURE PROVISIONNELLE, ACTION EN PAIEMENT D'ENTRETIEN | 276 al. 1 CC, 285 al. 1 CC</w:t>
      </w:r>
    </w:p>
    <w:p>
      <w:pPr>
        <w:pStyle w:val="Heading2"/>
      </w:pPr>
      <w:r>
        <w:t>Erwägungen</w:t>
      </w:r>
    </w:p>
    <w:p>
      <w:r>
        <w:rPr>
          <w:b/>
        </w:rPr>
        <w:t>E. 1.1</w:t>
      </w:r>
    </w:p>
    <w:p>
      <w:r>
        <w:t>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w:t>
      </w:r>
    </w:p>
    <w:p>
      <w:r>
        <w:rPr>
          <w:b/>
        </w:rPr>
        <w:t>E. 1.2</w:t>
      </w:r>
    </w:p>
    <w:p>
      <w:r>
        <w:t>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Toutefois, des novas peuvent être en principe librement introduits dans les causes régies par la maxime inquisitoire illimitée, par exemple sur la situation des enfants mineurs en droit matrimonial (Tappy, op. cit., JT 2010 III 115, spéc. p. 136-137 ; Jeandin, CPC commenté, n. 5 ad art. 296 CPC et les références citées). En l’espèce, le litige porte sur la contribution à l’entretien d’enfants mineurs, de sorte que les pièces produites en instance d’appel sont recevables.</w:t>
      </w:r>
    </w:p>
    <w:p>
      <w:r>
        <w:rPr>
          <w:b/>
        </w:rPr>
        <w:t>E. 3</w:t>
      </w:r>
    </w:p>
    <w:p>
      <w:r>
        <w:t>La compétence des tribunaux suisses et l’application du droit suisse ne sont pas contestées. L’exposé des règles applicables en matière de mesures provisionnelles, le fait que des mesures provisionnelles se justifient en principe en l’espèce et les principes applicables au calcul de la contribution d’entretien ne sont pas non plus remis en cause. Seuls sont contestés sur le fond (cf. c. 5 infra), le revenu de l’appelant (le premier juge ayant retenu un revenu de 4'051 fr. 25) ainsi que ses charges (le premier juge ayant retenu des primes d’assurance-maladie de 329 fr. 20 et estimé des frais de logement à 500 fr., charges comprises).</w:t>
      </w:r>
    </w:p>
    <w:p>
      <w:r>
        <w:rPr>
          <w:b/>
        </w:rPr>
        <w:t>E. 4.1</w:t>
      </w:r>
    </w:p>
    <w:p>
      <w:r>
        <w:t>Dans un grief d’ordre formel, l’appelant se plaint de n’avoir pas été valablement assigné à l’audience de mesures provisionnelles du 7 octobre 2014, la citation à comparaître à cette audience ne lui ayant jamais été remise ; il invoque de ce fait une violation de son droit d’être entendu.</w:t>
      </w:r>
    </w:p>
    <w:p>
      <w:r>
        <w:rPr>
          <w:b/>
        </w:rPr>
        <w:t>E. 4.2</w:t>
      </w:r>
    </w:p>
    <w:p>
      <w:r>
        <w:t>La garantie d’une citation régulière a pour but d’assurer à chaque partie le droit de ne pas être condamné sans avoir été en mesure de défendre ses propres intérêts (ATF 115 Ib 201 ; 105 Ib 46 ; 102 Ia 311 let. a ; 97 I 254 c. 3). L’ordre public exige le respect des règles fondamentales de la procédure civile, parmi lesquelles figure notamment la citation régulière. En vertu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personnellement au destinataire est réservé (al. 2). Selon la jurisprudence, la notification n’apparaît pas valable lorsqu’elle est effectuée en mains d’un parent du poursuivi qui, à ce moment-là, ne vit plus durablement avec lui (TF 5A_777/2011).</w:t>
      </w:r>
    </w:p>
    <w:p>
      <w:r>
        <w:rPr>
          <w:b/>
        </w:rPr>
        <w:t>E. 4.3</w:t>
      </w:r>
    </w:p>
    <w:p>
      <w:r>
        <w:t>En l’espèce, l’appelant ne faisait plus ménage commun avec l’intimée depuis le mois de juin 2014 et ne vivait plus avec elle à la date de la notification de la citation à comparaître litigieuse. Dans la mesure cependant où l’appelant n’a pas sollicité la restitution du délai de comparution à l’audience de mesures provisionnelles du 7 octobre 2014 après en avoir eu connaissance lors de l’audience de conciliation du 23 octobre 2014, à laquelle il s’est présenté personnellement, assisté de son conseil, il ne saurait valablement invoquer la prétendue notification irrégulière de la citation à comparaître dans le cadre d’un appel contre l’ordonnance de mesures provisionnelles rendue le 29 décembre 2014. Ce grief doit donc être rejeté.</w:t>
      </w:r>
    </w:p>
    <w:p>
      <w:r>
        <w:rPr>
          <w:b/>
        </w:rPr>
        <w:t>E. 5.1</w:t>
      </w:r>
    </w:p>
    <w:p>
      <w:r>
        <w:t>Sur le fond, l’appelant produit des pièces nouvelles – recevables (cf. supra c. 2.2) – et fait valoir qu’au vu de sa situation financière, il ne serait pas en mesure de s’acquitter des contributions d’entretien fixées par le premier juge, son revenu lui laissant un disponible d’environ 200 fr. par mois après couverture de ses charges incompressibles. S’agissant de sa situation professionnelle, l’appelant est en gain intermédiaire auprès de la Société [...]. Au mois de mai 2014, il a travaillé auprès de l’entreprise générale de nettoyage [...] et a réalisé, par cette activité, un salaire mensuel net de 2'474 fr. 65. Depuis le mois de juin 2014, il travaille pour le compte de la [...], en qualité de manutentionnaire, et touche un salaire mensuel net – impôt à la source déduit – de l’ordre de 2’500 fr., ou 3'000 fr. les meilleurs mois, ce qui paraît s’expliquer par des fluctuations d’horaire hebdomadaire. Quant aux charges incompressibles de l’appelant, il convient d’ajouter au montant de base mensuel de 1'200 fr., retenu pour le calcul du minimum d’existence en matière de poursuite (minimum vital), les frais de logement. Depuis septembre 2014, l’appelant partage avec une connaissance un appartement en sous-location à la Route de [...] à Bex et s’acquitte de la moitié du loyer et des charges se rapportant à ce logement. Ces frais s’élèvent selon lui à la somme mensuelle totale de 1'410 fr., soit 705 fr. pour lui, mais il ressort du contrat de bail que le loyer sans les charges s’élève à 1'050 fr. au total, soit 525 fr. pour celui-ci. Les primes d’assurance-maladie de l’appelant se montent à 349 fr. 05. Au vu de ce qui précède, la situation matérielle de l’appelant se présente comme suit : - minimum vital              Fr. 1'200.00 - loyer (charges comprises) Fr.                 525.00 - assurance maladie Fr. 349.05 Total Fr.           2'074.05 Sur la base des pièces produites, il convient ainsi de retenir que l’appelant a un disponible de l’ordre de 400 fr. par mois (2'500 fr. - 2'074 fr. 05), qu’il doit affecter à l’entretien de ses enfants mineurs.</w:t>
      </w:r>
    </w:p>
    <w:p>
      <w:r>
        <w:rPr>
          <w:b/>
        </w:rPr>
        <w:t>E. 6.1</w:t>
      </w:r>
    </w:p>
    <w:p>
      <w:r>
        <w:t>Il résulte de ce qui précède que l’appel doit être partiellement admis et le chiffre II du dispositif de l’ordonnance entreprise réformé en ce sens que Z.________ doit contribuer à l’entretien de ses fils mineurs [...] et [...] par le régulier versement, pour chacun d’eux, d’une pension mensuelle, payable d’avance le premier de chaque mois en mains de S.________, d’un montant de 200 fr., éventuelles allocations familiales en sus, dès et y compris le 1 er septembre 2014.</w:t>
      </w:r>
    </w:p>
    <w:p>
      <w:r>
        <w:rPr>
          <w:b/>
        </w:rPr>
        <w:t>E. 6.2</w:t>
      </w:r>
    </w:p>
    <w:p>
      <w:r>
        <w:t>Vu l’issue de l’appel et la nature du litige, les frais judiciaires de la procédure de deuxième instance seront arrêtés à 300 fr. pour l’appelant et à 300 fr. pour l’intimée (art. 65 al. 2 TFJC ; RSV 270.11.5) et provisoirement laissés à la charge de l’Etat, vu l’octroi de l’assistance judiciaire (art. 122 al. 1 let. b CPC). Les dépens de deuxième instance seront en outre compensés (art. 95 al. 3 et 107 al. 1 let. c CPC).</w:t>
      </w:r>
    </w:p>
    <w:p>
      <w:r>
        <w:rPr>
          <w:b/>
        </w:rPr>
        <w:t>E. 6.3</w:t>
      </w:r>
    </w:p>
    <w:p>
      <w:r>
        <w:t>Conformément à l’art. 122 al. 1 let. a CPC, Me Dorothée Raynaud, conseil d’office de l’appelant, a droit à une rémunération équitable pour ses opérations et débours dans la procédure d’appel. Le 10 février 2015, Me Raynaud a transmis la liste de ses opérations dans laquelle elle indique avoir consacré à la procédure de deuxième instance 5.6 heures, ce qui est admissible. L’indemnité d’office de Me Raynaud sera ainsi arrêtée à 1'008 fr. d’honoraires, correspondant au tarif horaire de 180 fr., à laquelle s’ajoutent des débours pour un montant forfaitaire de 50 fr. ainsi que la TVA sur ces montants (art. 122 al. 2 CPC ; art. 2 al. 1 RAJ [Règlement du 7 décembre 2010 sur l’assistance judiciaire en matière civile; RSV 211.02.3]) par 84 fr. 65, soit un total de 1'142 fr. 65 . Le 20 février 2015, Me Damien Hottelier, conseil d’office de l’intimée, a transmis la liste de ses opérations, dans laquelle il indique avoir consacré 4.45 heures à la procédure de deuxième instance. Compte tenu de la connaissance du dossier de première instance par le conseil d’office, qui n’a par ailleurs pas déposé de réponse, le temps indiqué apparaît exagéré et doit être réduit à 3 heures. L’indemnité d’office de Me Damien Hottelier, pour la procédure de deuxième instance, sera en définitive arrêtée à 637 fr. 20, comprenant un défraiement de     540 fr. ( 3 x 180 fr.) d’honoraires, des débours de 50 fr. et la TVA sur ces montants par 47 fr. 20 (art. 122 al. 2 CPC ; art. 2 al. 1 RAJ). Dans la mesure de l’art. 123 CPC, les bénéficiaires de l'assistance judiciaire sont tenus au remboursement des frais judiciaires et de l’indemnité à leur conseil d’office mis à la charge de l’Etat. Par ces motifs, le juge délégué de la Cour d’appel civile du Tribunal cantonal, statuant à huis clos, prononce : I. L’appel est partiellement admis. II. L’ordonnance est réformée comme suit au chiffre II de son dispositif : II. Astreint Z.________ à l’entretien de ses fils [...], né le [...] 2002, et [...], né le [...] 2007, par le régulier versement pour chacun d’eux d’une pension mensuelle, payable d’avance le premier de chaque mois en mains de S.________, d’un montant de 200 fr. (deux cents francs), éventuelles allocations familiales en sus, dès et y compris le 1 er septembre 2014. Elle est confirmée pour le surplus. III. Les frais judiciaires de deuxième instance, arrêtés à 300 fr. (trois cents francs) pour l’appelant Z.________ et à 300 fr. (trois cents francs) pour l’intimée S.________, sont provisoirement laissés à la charge de l’Etat. IV. Les dépens de deuxième instance sont compensés. V. L'indemnité d'office de Me Dorothée Raynaud, conseil d’office de l’appelant Z.________, est arrêtée à 1’142 fr. 65 (mille cent quarante-deux francs et soixante-cinq centimes), TVA et débours compris. VI. L'indemnité d'office de Me Damien Hottelier, conseil d’office de l’intimée S.________, est arrêtée à 637 fr. 20 (six cents trente-sept francs et vingt centimes), TVA et débours compris. VII. Les bénéficiaires de l'assistance judiciaire sont, dans la mesure de l'art. 123 CPC, tenus au remboursement des frais judiciaires et de l'indemnité à leur conseil d'office mis à la charge de l'Etat. VIII. L'arrêt motivé est exécutoire. Le juge délégué : Le greffier : Du 4 mars 2015 Le dispositif de l'arrêt qui précède est communiqué par écrit aux intéressés. Le greffier : Du L'arrêt qui précède, dont la rédaction a été approuvée à huis clos, est notifié en expédition complète, par l'envoi de photocopies à : ‑ Me Dorothée Raynaud (pour Z.________), ‑ Me Damien Hottelier (pour 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