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237 vom 4. März 2015</w:t>
      </w:r>
    </w:p>
    <w:p>
      <w:r>
        <w:t>VD Tribunal cantonal, 2015-03-04, FR</w:t>
      </w:r>
    </w:p>
    <w:p>
      <w:r>
        <w:rPr>
          <w:b/>
        </w:rPr>
        <w:t xml:space="preserve">Quelle: </w:t>
      </w:r>
      <w:r>
        <w:t>https://mcp.opencaselaw.ch/entscheid/vd_findinfo_HC___2015___237</w:t>
      </w:r>
    </w:p>
    <w:p>
      <w:r>
        <w:t>FR: VD_FINDINFO HC / 2015 / 237 du 4 mars 2015</w:t>
      </w:r>
    </w:p>
    <w:p>
      <w:r>
        <w:t>IT: VD_FINDINFO HC / 2015 / 237 del 4 marzo 2015</w:t>
      </w:r>
    </w:p>
    <w:p>
      <w:pPr>
        <w:pStyle w:val="Heading2"/>
      </w:pPr>
      <w:r>
        <w:t>Regeste</w:t>
      </w:r>
    </w:p>
    <w:p>
      <w:r>
        <w:t>DÉCISION D'IRRECEVABILITÉ, MOTIVATION DE LA DEMANDE, CONCLUSIONS | 319 let. b ch. 2 CPC (CH), 321 al. 1 CPC (CH), 326 CPC (CH), 50 al. 2 CPC (CH)</w:t>
      </w:r>
    </w:p>
    <w:p>
      <w:pPr>
        <w:pStyle w:val="Heading2"/>
      </w:pPr>
      <w:r>
        <w:t>Volltext</w:t>
      </w:r>
    </w:p>
    <w:p>
      <w:r>
        <w:t>Vaud Tribunal cantonal Chambre des recours civile 04.03.2015 HC / 2015 / 237</w:t>
      </w:r>
    </w:p>
    <w:p>
      <w:r>
        <w:t>DÉCISION D'IRRECEVABILITÉ, MOTIVATION DE LA DEMANDE, CONCLUSIONS | 319 let. b ch. 2 CPC (CH), 321 al. 1 CPC (CH), 326 CPC (CH), 50 al. 2 CPC (CH)</w:t>
      </w:r>
    </w:p>
    <w:p>
      <w:r>
        <w:t>TRIBUNAL CANTONAL HX15.008049-150334 103 CHAMBRE DES RECOURS CIVILE _________________________________________ Arrêt du 4 mars 2015 __________________ Composition :               M. Winzap , président M. Pellet et Mme Courbat, juges Greffière :              Mme Egger Rochat ***** Art. 50 al. 2, 319 let. b ch. 2, 321 al. 1 et 326 CPC Statuant à huis clos sur le recours interjeté par B.________ , à [...], requérant, contre la décision de récusation civile rendue le 27 janvier 2015 par la Cour administrative, la Chambre des recours civile du Tribunal cantonal considère : En fait et en droit : 1. Par décision du 27 janvier 2015, la Cour administrative a rejeté la requête de récusation déposée le 12 janvier 2015 par B.________, à l’encontre des Juges de paix S.________ et K.________, dans la mesure où elle était recevable. 2. Par acte du 1 er février 2015, B.________ a recouru contre cette décision et déclaré « je maintiens ma requête de récusation de la " Magistrate " S.________ ». Il a en outre requis que le Juge de paix K.________ soit invité à procéder à une enquête interne de son office, afin de déterminer qui lui avait accordé un délai supplémentaire à celui que le juge lui avait fixé initialement. 3. Selon l’art. 50 al. 2 CPC (Code de procédure civile suisse du 19 décembre 2008, RS 272), une décision de récusation peut faire l’objet d’un recours au sens de l’art. 319 let. b ch. 2 CPC. La Chambre des recours civile est ainsi compétente pour statuer sur les recours interjetés contre les décisions de la Cour administrative statuant sur les requêtes de récusation (art. 8a al. 7 CDPJ [Code de droit privé judiciaire vaudois du 12 janvier 2010, RSV 211.02] ; art. 18 al. 1 ROTC [règlement organique du Tribunal cantonal du 13 novembre 2007, RSV 173.31.1]). 4. A teneur de l’art. 321 al. 1 CPC (Code de procédure civile du 19 décembre 2008,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En outre, selon l’art. 326 al. 1 CPC, les conclusions, les allégations de faits et les preuves nouvelles sont irrecevables. En l’espèce, l’acte déposé le 1 er février 2015 ne comporte pas de motivation, le recourant se bornant pour l’essentiel à « maintenir sa requête de récusation » à l’encontre de la magistrate S.________ et à exposer à nouveau ses griefs sans indiquer en quoi la décision attaquée serait erronée. Quant à la conclusion relative à une enquête interne au sein de l’office de la Justice de paix, elle ne fait pas l’objet de la décision attaquée. Etant nouvelle, elle est dès lors irrecevable. Le recours, dépourvu de motivation et de conclusions valables, doit être déclaré irrecevable, sans qu’il y ait lieu d’impartir au recourant un délai pour remédier aux vices de son écriture. Par ces motifs, la Chambre des recours civile du Tribunal cantonal, en application de l'art. 322 al. 1 CPC, prononce : I. Le recours est irrecevable. II. L’arrêt est rendu sans frais. III. L’arrêt est exécutoire. Le président :               La greffière : Du L'arrêt qui précède, dont la rédaction a été approuvée à huis clos, est notifié à : ‑ M. B.________, ‑ Mme la Juge de paix S.________, - M. le Juge de paix [...]. La Chambre des recours civile considère que la présente cause est de nature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