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231 vom 4. März 2015</w:t>
      </w:r>
    </w:p>
    <w:p>
      <w:r>
        <w:t>VD Tribunal cantonal, 2015-03-04, FR</w:t>
      </w:r>
    </w:p>
    <w:p>
      <w:r>
        <w:rPr>
          <w:b/>
        </w:rPr>
        <w:t xml:space="preserve">Quelle: </w:t>
      </w:r>
      <w:r>
        <w:t>https://mcp.opencaselaw.ch/entscheid/vd_findinfo_HC___2015___231</w:t>
      </w:r>
    </w:p>
    <w:p>
      <w:r>
        <w:t>FR: VD_FINDINFO HC / 2015 / 231 du 4 mars 2015</w:t>
      </w:r>
    </w:p>
    <w:p>
      <w:r>
        <w:t>IT: VD_FINDINFO HC / 2015 / 231 del 4 marzo 2015</w:t>
      </w:r>
    </w:p>
    <w:p>
      <w:pPr>
        <w:pStyle w:val="Heading2"/>
      </w:pPr>
      <w:r>
        <w:t>Regeste</w:t>
      </w:r>
    </w:p>
    <w:p>
      <w:r>
        <w:t>DROIT D'ÊTRE ENTENDU, MOTIVATION DE LA DÉCISION, ASSISTANCE JUDICIAIRE, PERSONNE MORALE, CHANCES DE SUCCÈS | 117 CPC (CH), 117 let. b CPC (CH), 121 CPC (CH)</w:t>
      </w:r>
    </w:p>
    <w:p>
      <w:pPr>
        <w:pStyle w:val="Heading2"/>
      </w:pPr>
      <w:r>
        <w:t>Erwägungen</w:t>
      </w:r>
    </w:p>
    <w:p>
      <w:r>
        <w:rPr>
          <w:b/>
        </w:rPr>
        <w:t>E. 1</w:t>
      </w:r>
    </w:p>
    <w:p>
      <w:r>
        <w:t>CPC) doit s’exercer dans un délai de dix jours pour les décisions prises en procédure sommaire (art 321 al. 2 CPC). Motivés et déposés en temps utile par deux parties qui y ont un intérêt, les recours sont recevables.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lI, 2 e éd., Berne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 e éd., Berne 2014, n° 27 ad art. 97).</w:t>
      </w:r>
    </w:p>
    <w:p>
      <w:r>
        <w:rPr>
          <w:b/>
        </w:rPr>
        <w:t>E. 3</w:t>
      </w:r>
    </w:p>
    <w:p>
      <w:r>
        <w:t>Q.________ et Q.________ Sàrl en liquidation invoquent une violation de leur droit d’être entendu dès lors que la décision entreprise ne serait pas suffisamment motivée. a)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 b) En l’espèce, la décision entreprise a relevé qu’il ressortait des pièces que le bail avait été conclu par une personne morale, qu’il avait été mis fin au contrat de bail liant les parties selon convention de sortie signée le 5 novembre 2013 et que l’assistance n’était pas accordée s’il apparaissait que les prétentions ou moyens de défense de la partie requérante étaient mal fondés. Bien que sommairement motivée, cette décision ne viole pas le droit d’être entendu des recourants, qui ont pleinement été en mesure de faire valoir leurs arguments en deuxième instance. Ce grief est donc infondé.</w:t>
      </w:r>
    </w:p>
    <w:p>
      <w:r>
        <w:rPr>
          <w:b/>
        </w:rPr>
        <w:t>E. 4</w:t>
      </w:r>
    </w:p>
    <w:p>
      <w:r>
        <w:t>Q.________ et Q.________ Sàrl en liquidation soutiennent que leur cause n’est pas dénuée de chance de succès. a) aa) Selon l’art. 117 CPC, une personne a droit à l’assistance judiciaire si cette personne ne dispose pas de ressources suffisantes (let. a) et si sa cause ne paraît pas dépourvue de toute chance de succès (let. b). Il n’appartient pas à l’Etat de financer pour une personne indigente un procès qu’un plaideur raisonnable ne soutiendrait pas à ses propres frais (ATF 125 Il 265 c. 4b; ATF 124 I 304 c. 2c ; ATF 122 I 267 c. 2b ; ATF 119 la 251 c. 3b ; ATF 119 III 113 c. 3a ; ATF 109 la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(TF 4A_455/2010 du 20 octobre 2010; ATF 133 II 614 c. 5; ATF 129 I 129 c. 2.3.1, JT 2005 IV 300 ; sur le tout : Tappy, op. cit., n. 31 ad art. 117 CPC et les réf. citées). En première instance, dans les causes patrimoniales, la condition des chances de succès, qui doit s’apprécier prima facie sur la base de la vraisemblance, voire des simples allégations du requérant, exclut l’octroi de l’assistance judiciaire au demandeur au fond dont l’action est vouée à l’échec. Le défendeur ne doit quant à lui se voir refuser l’assistance judiciaire que si le gain du procès par le demandeur, sur le principe, mais aussi sur le montant réclamé, apparaît très probable ; à cet égard, le défendeur est mieux placé que le demandeur (Tappy, op. cit., n. 32 ad art. 117 CPC). bb) Savoir si le droit à l’assistance judiciaire peut être invoqué par une personne morale ou une entité sans personnalité ayant la qualité de partie soulève une problématique qui a été largement débattue jusqu’au 31 décembre 2010 (Tappy, CPC commenté, Bâle 2011, nn. 15 à 17 ad art. 117 CPC, qui discute de façon complète et exhaustive le problème précisément soulevé dans la présente cause). Tout en se référant à la controverse doctrinale à ce sujet et à la jurisprudence du Tribunal fédéral, le Message du 28 juin 2006 relatif au Code de procédure civile suisse (FF 2006 p. 6841;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du 18 avril 1999 ;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ATF 119 la 337 c. 4b, SJ 1994 I 221; ATF 116 lI 651 c. 2, rés. in JT 1991 I 381; ATF 88 Il 386 n. 54, JT 1963 I 219), de même qu’il a refusé de l’octroyer à une masse en faillite (ATF 125 V 371 c. 5). Seule une personne physique peut se trouver dans une situation d’indigence ou de pauvreté, tandis qu’une personne juridique peut tout au plus se trouver dans une situation de surendettement qui, s’agissant d’une société anonyme, l’expose à une déclaration de faillite (art. 725 et 725a CO; ATF 119 la 337 c. 3b). Dans un arrêt (ATF 119 la 337 c.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publié à l’ATF 131 lI 306 c. 5.2.2, le Tribunal fédéral a admis que, « exceptionnellement, une personne morale pouvait y avoir droit, lorsque son seul actif est en litige et que, à ses côtés, des personnes économiquement intéressées sont dépourvu de moyens». La notion d’«intéressés économiquement»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 4d, JT 2000 I 130; ATF 116 Il 651, JT 1991 I 381 ; HohI, op. cit., n. 716). Une partie de la doctrine approuve le principe selon lequel les personnes morales n’ont pas droit à l’assistance judiciaire (cf. références citées in Köchli, Schweizerische Zivilprozessordnung [SHK ZPO], Berne 2010, n. 8 ad art. 117 CPC), dont HohI, Emmel et Jent-Sörensen, qui se réfèrent expressément à I’ATF 131 Il 306 (HohI, op. cit., n. 717 ; Emmel, in : Sutter-Somm/Hasenböhler/ Leuenberger, Kommentar zur Schweizerischen Zivilprozessordnung, 2 e éd., Zurich 2013, n. 2 ad art. 117 CPC; Jent-Sörensen, in : Oberhammer/Domej/Haas, Kurzkommentar ZPO, 2 e éd., Bâle 2014, n. 7 ad art. 117 CPC), ainsi que Tappy, pour qui, au vu de l’indépendance juridique d’une société anonyme par rapport à ses actionnaires et l’absence de responsabilité de ceux-ci pour les dettes sociales, le fait que les actionnaires d’une telle société soient sans ressources ne suffit pas à octroyer l’assistance judiciaire à une telle société si son seul actif est l’objet du litige, comme suggéré à I’ATF 119 la 337 c. 4 (Tappy, op. cit., n. 17 ad art. 117 CPC). Ces considérations valent également, mutatis mutandis , pour les sociétés à responsabilité limitée. b) aa) En l’espèce, comme le relève la décision entreprise, le litige est de la compétence du tribunal des baux et a trait principalement au contrat de bail conclu entre Q.________ Sàrl en liquidation et l’intimée. Certes, Q.________ est l’associé gérant de Q.________ Sàrl, mais cela ne change rien au fait qu’il n’est pas personnellement partie au contrat de bail litigieux. Dans ces conditions, on voit mal comment la qualité pour agir pourrait lui être accordée, raison pour laquelle on doit admettre que la cause, en tant qu’elle concerne Q.________, est dépourvue de chance de succès. bb) Quant à Q.________ Sàrl en liquidation, elle fait valoir que l’on se trouve à son égard précisément dans le cas de l’exception prévue par le Tribunal fédéral, dès lors que son seul actif est la créance objet du litige (créance contre J.________) et que son seul associé gérant se trouve dans une situation d’indigence. Cette question peut demeurer ouverte, dès lors que la condition relative aux chances de succès n’est de toute manière pas non plus réalisée en ce qui la concerne. Dans le procès en cause, Q.________ Sàrl en liquidation plaide non seulement que le contrat de bail qu’elle a conclu avec l’intimée contiendrait des engagements excessifs au sens de 27 CC (code civil suisse du 10 décembre 1907 ; RS 210), mais qu’en plus la convention qu’elle a conclue le 5 novembre 2013 avec l’intimée serait entachée d’un vice du consentement, ces deux éléments ayant entraîné la faillite de la recourante. On peut relever que s’il est déjà peu aisé de faire valoir l’une des deux prétentions invoquées, il l’est d’autant plus de faire valoir les deux. On constate à ce stade que la convention du 5 novembre 2013 prévoit que les parties se donnent quittance pour solde de tout compte et de toutes prétentions. On ignore d’ailleurs quel type de vice du consentement la recourante entend invoquer pour invalider cette convention. Quant au contrat de bail, il s’agit de locaux commerciaux loués « brut », pour lesquels la recourante a fait des investissements importants pour l’exploitation d’un restaurant ; elle semble solliciter une indemnité pour la plus value alors même que cela va clairement à l’encontre des termes du contrat de bail conclu entre les parties. En somme, il apparaît que les perspectives de gagner sont notamment plus faibles que les risques de le perdre et qu’un plaideur raisonnable n’engagerait pas le procès pour lequel la recourante sollicite l’assistance judiciaire. Ce grief doit donc également être rejeté.</w:t>
      </w:r>
    </w:p>
    <w:p>
      <w:r>
        <w:rPr>
          <w:b/>
        </w:rPr>
        <w:t>E. 5</w:t>
      </w:r>
    </w:p>
    <w:p>
      <w:r>
        <w:t>mars 2015 Le dispositif de l'arrêt qui précède est communiqué par écrit aux intéressés. La greffière : Du L'arrêt qui précède, dont la rédaction a été approuvée à huis clos, est notifié en expédition complète, par l'envoi de photocopies, à : ‑ Me Denis Cherpillod (pour Q.________ et Q.________ Sàrl en liquidation) ; ‑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