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218 vom 17. Februar 2015</w:t>
      </w:r>
    </w:p>
    <w:p>
      <w:r>
        <w:t>VD Tribunal cantonal, 2015-02-17, FR</w:t>
      </w:r>
    </w:p>
    <w:p>
      <w:r>
        <w:rPr>
          <w:b/>
        </w:rPr>
        <w:t xml:space="preserve">Quelle: </w:t>
      </w:r>
      <w:r>
        <w:t>https://mcp.opencaselaw.ch/entscheid/vd_findinfo_HC___2015___218</w:t>
      </w:r>
    </w:p>
    <w:p>
      <w:r>
        <w:t>FR: VD_FINDINFO HC / 2015 / 218 du 17 février 2015</w:t>
      </w:r>
    </w:p>
    <w:p>
      <w:r>
        <w:t>IT: VD_FINDINFO HC / 2015 / 218 del 17 febbraio 2015</w:t>
      </w:r>
    </w:p>
    <w:p>
      <w:pPr>
        <w:pStyle w:val="Heading2"/>
      </w:pPr>
      <w:r>
        <w:t>Regeste</w:t>
      </w:r>
    </w:p>
    <w:p>
      <w:r>
        <w:t>ASSISTANCE JUDICIAIRE, PREMIÈRE INSTANCE | 117 let. a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w:t>
      </w:r>
    </w:p>
    <w:p>
      <w:r>
        <w:rPr>
          <w:b/>
        </w:rPr>
        <w:t>E. 3</w:t>
      </w:r>
    </w:p>
    <w:p>
      <w:r>
        <w:t>a) Selon l’art. 326 al. 1 CPC, les conclusions, les allégations de faits et les preuves nouvelles sont irrecevables. Aux termes de l’art. 117 CPC, une personne a droit à l’assistance judiciaire si elle ne dispose pas de ressources suffisantes (a) et si sa cause ne paraît pas dépourvue de toute chance de succès (b). b) En l’espèce, le recourant fait valoir que, de peur que cela ne nuise à la procédure de divorce, il n’a pas mentionné qu’il vivait une relation avec L.________, établie en France, et que le prêt familial de 3'000 euros allégué en première instance correspond en réalité aux charges auxquelles sa compagne ne peut plus faire face. L’argumentation du recourant est vaine, dès lors qu’il s’agit d’allégations de fait nouvelles qui sont irrecevables en deuxième instance (art. 326 al. 1 CPC). De toute manière, même à supposer recevables, ces éléments de fait n’entreraient pas dans la notion de minimum vital élargi puisque le recourant n’a aucune obligation d’entretien envers sa compagne. Il n’y a pas lieu d’examiner le grief du recourant relatif à son loyer actuel de 2'500 fr., puisque c’est ce montant qui a été pris en compte par le premier juge dans le calcul du minimum vital élargi. Bénéficiant d’un disponible mensuel de 2'529 fr. 10, le recourant ne remplit manifestement pas la condition d’indigence posée par l’art. 117 let. a CPC et doit prioritairement consacrer l’excédent de son budget au paiement des frais de justice de première instance, au besoin par le versement d'acomptes.</w:t>
      </w:r>
    </w:p>
    <w:p>
      <w:r>
        <w:rPr>
          <w:b/>
        </w:rPr>
        <w:t>E. 4</w:t>
      </w:r>
    </w:p>
    <w:p>
      <w:r>
        <w:t>Il s’ensuit que le recours doit être rejeté et la décision entreprise confirmée. Les frais judiciaires de deuxième instance sont arrêtés à 200 fr. (art. 69 al. 1 TFJC [tarif des frais judiciaires civils du 28 septembre 2010 ; RSV 270.11.5]) et mis à la charge du recourant, qui succombe (art. 106 al. 1 CPC). Par ces motifs, la Chambre des recours civile du Tribunal cantonal, prononce : I. Le recours est rejeté, dans la mesure de sa recevabilité. II. La décision est confirmée. III. Les frais judiciaires de deuxième instance, arrêtés à 200 fr. (deux cents francs), sont mis à la charge du recourant A.M.________. IV. L'arrêt motivé est exécutoire. Le président :               La greffière : Du 18 février 2015 Le dispositif de l'arrêt qui précède est communiqué par écrit aux intéressés. La greffière : Du L'arrêt qui précède, dont la rédaction a été approuvée à huis clos, est notifié en expédition complète, par l'envoi de photocopies, à : ‑ M. A.M.________ La Chambre des recours civile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