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216 vom 10. März 2015</w:t>
      </w:r>
    </w:p>
    <w:p>
      <w:r>
        <w:t>VD Tribunal cantonal, 2015-03-10, FR</w:t>
      </w:r>
    </w:p>
    <w:p>
      <w:r>
        <w:rPr>
          <w:b/>
        </w:rPr>
        <w:t xml:space="preserve">Quelle: </w:t>
      </w:r>
      <w:r>
        <w:t>https://mcp.opencaselaw.ch/entscheid/vd_findinfo_HC___2015___216</w:t>
      </w:r>
    </w:p>
    <w:p>
      <w:r>
        <w:t>FR: VD_FINDINFO HC / 2015 / 216 du 10 mars 2015</w:t>
      </w:r>
    </w:p>
    <w:p>
      <w:r>
        <w:t>IT: VD_FINDINFO HC / 2015 / 216 del 10 marzo 2015</w:t>
      </w:r>
    </w:p>
    <w:p>
      <w:pPr>
        <w:pStyle w:val="Heading2"/>
      </w:pPr>
      <w:r>
        <w:t>Regeste</w:t>
      </w:r>
    </w:p>
    <w:p>
      <w:r>
        <w:t>MESURE PROVISIONNELLE, VISITE, RELATIONS PERSONNELLES, INTÉRÊT DE L'ENFANT, MODIFICATION DES CIRCONSTANCES, MODIFICATION{EN GÉNÉRAL} | 273 CC</w:t>
      </w:r>
    </w:p>
    <w:p>
      <w:pPr>
        <w:pStyle w:val="Heading2"/>
      </w:pPr>
      <w:r>
        <w:t>Erwägungen</w:t>
      </w:r>
    </w:p>
    <w:p>
      <w:r>
        <w:rPr>
          <w:b/>
        </w:rPr>
        <w:t>E. 1</w:t>
      </w:r>
    </w:p>
    <w:p>
      <w:r>
        <w:t>a) L'appel est recevable contre les ordonnances de mesures provisionnelles, au sens de l'art. 308 al. 1 let. b CPC (Code de procédure civile du 19 décembre 2008; RS 272 ; Tappy, Les voies de droit du nouveau Code de procédure civile, JT 2010 III 121), dans les causes non patrimoniales ou dont la valeur litigieuse au dernier état des conclusions devant l’autorité inférieure est supérieure à 10'000 fr. (art. 308 al. 2 CPC). Les ordonnances de mesure provisionnelles étant régies par la procédure sommaire, selon les art. 248 let. d et 271 CPC par renvoi de l'art. 276 CPC, le délai pour l'introduction de l’appel est de dix jours (art. 314 al. 1 CPC). En l’espèce, formé en temps utile par une partie qui y a intérêt (art. 59 al.</w:t>
      </w:r>
    </w:p>
    <w:p>
      <w:r>
        <w:rPr>
          <w:b/>
        </w:rPr>
        <w:t>E. 2</w:t>
      </w:r>
    </w:p>
    <w:p>
      <w:r>
        <w:t>CPC) sont applicables. Des novas peuvent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(Hohl, Procédure civile, Tome II, 2 e éd., Berne 2010, n. 2415 p. 438 ; JT 2011 III 43). Toutefois, l'application stricte de l'art. 317 CPC dans le cadre d'une procédure à laquelle la maxime inquisitoire s'applique ne saurait en soi être qualifiée de manifestement insoutenable, l'arbitraire ne résultant pas du seul fait qu'une autre solution serait concevable, voire préférable (TF 5A_342/2013 du 27 septembre 2013 c. 4.1.2). b) En l’espèce, dès lors que la cause porte sur la situation d’enfants mineurs en droit matrimonial et qu’elle est régie par la maxime d’office et par la maxime inquisitoire illimitée, l’attestation médicale produite par l’appelante et établie par le Dr G.________ le 2 mars 2015 est recevable.</w:t>
      </w:r>
    </w:p>
    <w:p>
      <w:r>
        <w:rPr>
          <w:b/>
        </w:rPr>
        <w:t>E. 3</w:t>
      </w:r>
    </w:p>
    <w:p>
      <w:r>
        <w:t>a) L’appelante soutient que le premier juge aurait fait fi du bien des enfants en prolongeant de manière arbitraire le droit de visite de l’intimé. Il n’aurait ainsi pas tenu compte des nombreux conflits survenus entre les parties, qui auraient diminué seulement depuis l’instauration d’un droit de visite un week-end sur deux et la moitié des vacances scolaires. Le premier juge n’aurait en conséquence pas pris en compte le fait que le nouveau droit de visite ne ferait que compliquer l’organisation des enfants, qui ne le désirent d’ailleurs pas. b) Les mesures provisionnelles dans le cadre d’une procédure en divorce suivent les règles applicables aux mesures protectrices de l’union conjugale (art. 276 CPC ; art. 172 CC [Code civil suisse du 10 décembre 1907 ; RS 210]). Selon l’art. 179 al. 1 CC, à la requête d’un époux, le juge ordonne les modifications commandées par les faits nouveaux. Les mesures provisionnelles sont par essence adaptables à l’évolution de la situation. Il faut toutefois des faits nouveaux, entraînant un changement important, durable et pertinent des circonstances de fait à la base du régime existant (Tappy, Quelques aspects de la procédure de mesures provisionnelles, spécialement en matière matrimoniale, JT 1994 III 34 ss). Lorsque des époux ont des enfants mineurs, le juge règle les relations personnelles entre le parent non gardien et l’enfant en se fondant sur les dispositions régissant les effets de la filiation (art. 273 ss CC). Aux termes de l’art. 273 al. 1 CC, le parent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5A_756/2013 du 9 janvier 2014 c. 5.1.2 ; TF 5A_716/2010 du 23 février 2011 c. 4 et les références citées, FamPra.ch 2011 p. 491 ; ATF 131 III 209 c. 5 ; ATF 123 III 445 c. 3b).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III 585 c. 2.1). c) En l’espèce, contrairement à ce que soutient l’appelante, le premier juge a pris en compte adéquatement les intérêts des enfants, en motivant sa décision. Il a d’abord considéré que la modification sollicitée par l’intimé n’allait pas bouleverser les enfants, s’agissant d’une extension du droit de visite du mercredi à la sortie de l’école jusqu’au jeudi matin à l’heure de l’école. Il s’est en outre fondé sur la plus grande disponibilité du père durant cette période, alors que l’appelante travaille du mercredi après-midi jusqu’à 20 heures, constatation que cette dernière ne remet pas en cause. Il s’est également fondé sur les témoignages des enseignantes des enfants et de leur pédiatre, selon lesquels l’évolution des enfants est favorable, de sorte qu’ils seront en mesure de s’adapter à un changement, le père ayant par ailleurs des projets constructifs pour les occuper le mercredi après-midi. Les objections formulées par l’appelante sur les risques présentés par les « fluctuations » du droit de visite et les tensions entre les parties sont insuffisantes pour remettre en question la solution dûment motivée du premier juge. Il apparaît en définitive que l’extension du droit de visite est dans l’intérêt des enfants, compte tenu de leur évolution favorable et des disponibilités des parents.</w:t>
      </w:r>
    </w:p>
    <w:p>
      <w:r>
        <w:rPr>
          <w:b/>
        </w:rPr>
        <w:t>E. 4</w:t>
      </w:r>
    </w:p>
    <w:p>
      <w:r>
        <w:t>En définitive, l’appel doit être rejeté selon le mode procédural de l’art. 312 al. 1 CPC et l’ordonnance entreprise confirmée. Dès lors que l’appel était d’emblée dépourvu de chances de succès, la requête d’assistance judiciaire formée par l’appelante doit être rejetée (art. 117 let. b et 119 al. 3 CPC). Il convient toutefois de rendre l’arrêt sans frais judiciaires de deuxième instance (art. 112 al. 1 CPC), aucune avance n’ayant par ailleurs été encaissée. Il n’y a pas lieu à l’allocation de dépens, l’intimé n’ayant pas été invité à se déterminer. Par ces motifs, le Juge délégué de la Cour d’appel civile du Tribunal cantonal, prononce : I. L’appel est rejeté. II. L’ordonnance est confrimée. III. La requête d'assistance judiciaire de l'appelante I.________ est rejetée. IV. L’arrêt est rendu sans frais judiciaires de deuxième instance. V. L’arrêt est exécutoire. Le juge délégué : Le greffier : Du L'arrêt qui précède, dont la rédaction a été approuvée à huis clos, est notifié à : ‑ Me Gloria Capt (pour I.________) ‑ Me Pierre-Yves Brandt (pour C.B.________) Le Juge délégué de la Cour d’appel civile considère que l’appel porte sur une cause non patrimoniale.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