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211 vom 20. Februar 2015</w:t>
      </w:r>
    </w:p>
    <w:p>
      <w:r>
        <w:t>VD Tribunal cantonal, 2015-02-20, FR</w:t>
      </w:r>
    </w:p>
    <w:p>
      <w:r>
        <w:rPr>
          <w:b/>
        </w:rPr>
        <w:t xml:space="preserve">Quelle: </w:t>
      </w:r>
      <w:r>
        <w:t>https://mcp.opencaselaw.ch/entscheid/vd_findinfo_HC___2015___211</w:t>
      </w:r>
    </w:p>
    <w:p>
      <w:r>
        <w:t>FR: VD_FINDINFO HC / 2015 / 211 du 20 février 2015</w:t>
      </w:r>
    </w:p>
    <w:p>
      <w:r>
        <w:t>IT: VD_FINDINFO HC / 2015 / 211 del 20 febbraio 2015</w:t>
      </w:r>
    </w:p>
    <w:p>
      <w:pPr>
        <w:pStyle w:val="Heading2"/>
      </w:pPr>
      <w:r>
        <w:t>Regeste</w:t>
      </w:r>
    </w:p>
    <w:p>
      <w:r>
        <w:t>ASSISTANCE JUDICIAIRE, AVOCAT D'OFFICE, INDEMNITÉ ÉQUITABLE, INDEMNITÉ{EN GÉNÉRAL} | 110 CPC (CH), 122 al. 1 let. a CPC (CH), 319 let. b ch. 1 CPC (CH)</w:t>
      </w:r>
    </w:p>
    <w:p>
      <w:pPr>
        <w:pStyle w:val="Heading2"/>
      </w:pPr>
      <w:r>
        <w:t>Erwägungen</w:t>
      </w:r>
    </w:p>
    <w:p>
      <w:r>
        <w:rPr>
          <w:b/>
        </w:rPr>
        <w:t>E. 1</w:t>
      </w:r>
    </w:p>
    <w:p>
      <w:r>
        <w:t>L'art. 110 CPC ouvre la voie du recours séparé de l’art. 319 let. b ch. 1 CPC contre les décisions fixant l’indemnité du conseil d’office, cette indemnité étant considérée comme des frais au sens de l’art. 95 CPC (CREC 16 janvier 2015/375 ; CREC 15 avril 2014/140 ;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(HohI, Procédure civile, tome Il, 2 e éd., 2010, n. 2508, p. 452). Comme pour l’art. 97 aI.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3</w:t>
      </w:r>
    </w:p>
    <w:p>
      <w:r>
        <w:t>a) Le recourant fait valoir qu'il n'a ni rencontré Me F.________ ni eu de contact téléphonique avec lui, qu'il n'a jamais accepté que ce conseil défende ses intérêts et qu'il ne savait pas ce que cet avocat avait effectué comme démarches. b)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 5 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c) En l'espèce, les pièces du dossier font apparaître que le recourant a bénéficié de l'assistance judiciaire et que Me F.________ était son conseil d'office. Ainsi, depuis 2013, et à titre d'exemple, le recourant a requis la dispense de payer la franchise et a été assisté à deux audiences de mesures protectrices de l'union conjugale par Me F.________. Le recourant ne saurait dès lors prétendre de bonne foi qu'il n'a jamais rencontré son conseil ou n'a jamais accepté d'être défendu par lui. Son recours relève de la témérité, en ce sens qu'il est manifestement dénué de toute chance de succès, tout plaideur raisonnable et de bonne foi s'en abstenant (ATF 120 III 107 c. 4b). Il était justifié d’octroyer à Me F.________ une indemnité d’office, dont le montant apparaît du reste correct au vu du dossier.</w:t>
      </w:r>
    </w:p>
    <w:p>
      <w:r>
        <w:rPr>
          <w:b/>
        </w:rPr>
        <w:t>E. 4</w:t>
      </w:r>
    </w:p>
    <w:p>
      <w:r>
        <w:t>Compte tenu de ce qui précède, le recours doit être rejeté dans la procédure de l'art. 322 al. 1 CPC et le prononcé attaqué confirmé. Au vu des circonstances entourant la situation personnelle du recourant, l'arrêt peut être rendu sans frais. Il n'y a pas matière à l'allocation de dépens. Par ces motifs, la Chambre des recours civile du Tribunal cantonal, en application de l'art. 322 al. 1 CPC, prononce : I. Le recours est rejeté. II. Le prononcé est confirmé. III. L'arrêt, rendu sans frais, est exécutoire. Le président :               La greffière : Du L'arrêt qui précède, dont la rédaction a été approuvée à huis clos, est notifié en expédition complète, par l'envoi de photocopies, à : ‑ M. X.________, ‑ Me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