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200 vom 3. Februar 2015</w:t>
      </w:r>
    </w:p>
    <w:p>
      <w:r>
        <w:t>VD Tribunal cantonal, 2015-02-03, FR</w:t>
      </w:r>
    </w:p>
    <w:p>
      <w:r>
        <w:rPr>
          <w:b/>
        </w:rPr>
        <w:t xml:space="preserve">Quelle: </w:t>
      </w:r>
      <w:r>
        <w:t>https://mcp.opencaselaw.ch/entscheid/vd_findinfo_HC___2015___200</w:t>
      </w:r>
    </w:p>
    <w:p>
      <w:r>
        <w:t>FR: VD_FINDINFO HC / 2015 / 200 du 3 février 2015</w:t>
      </w:r>
    </w:p>
    <w:p>
      <w:r>
        <w:t>IT: VD_FINDINFO HC / 2015 / 200 del 3 febbraio 2015</w:t>
      </w:r>
    </w:p>
    <w:p>
      <w:pPr>
        <w:pStyle w:val="Heading2"/>
      </w:pPr>
      <w:r>
        <w:t>Regeste</w:t>
      </w:r>
    </w:p>
    <w:p>
      <w:r>
        <w:t>MOTIVATION DE LA DÉCISION, DROIT D'ÊTRE ENTENDU, SÛRETÉS, DÉPENS | 121 CPC (CH), 99 CPC (CH)</w:t>
      </w:r>
    </w:p>
    <w:p>
      <w:pPr>
        <w:pStyle w:val="Heading2"/>
      </w:pPr>
      <w:r>
        <w:t>Erwägungen</w:t>
      </w:r>
    </w:p>
    <w:p>
      <w:r>
        <w:rPr>
          <w:b/>
        </w:rPr>
        <w:t>E. 1.1</w:t>
      </w:r>
    </w:p>
    <w:p>
      <w:r>
        <w:t>Le recours est dirigé contre une décision rendue par un Juge délégué de la Chambre patrimoniale cantonale, statuant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Bâle 2012, nn. 6 et 16 ad art. 121 CPC). Ce droit de recours doit s’exercer aux conditions de l’art. 103 CPC permettant normalement d’attaquer le refus de telles sûretés, solution admise tant par le Message CPC du 28 juin 2006 (FF 2006 7303) que par la doctrine (Emmel, in Sutter-Somm/Hasenböhler/Leuenberger, Kommentar zur Schweizeri-schen Zivilprozessordnung, 2 e éd., Zurich 2013, n. 2 ad art. 121 CPC ; Jent-Sorensen, in : Oberhammer/Domej/Haas, Kurzkommentar ZPO, 2 e éd., Bâle 2014, n. 2 ad art. 121 CPC ; Bühler, in Berner Kommentar, 2012, n. 21 ad art. 121 CPC ; contra Huber, in Schweizerische Zivilprozessordnung, Kommentar, Brunner/Gasser/Schwander Hrsg, 2011 [DIKE Kommentar], n. 7 ad art. 121 CPC qui fonde un tel recours sur l’art. 319 let. b ch. 2 CPC, soit l’exigence d’un préjudice difficilement réparable). En effet, en règle générale, le plaideur qui requiert l'assistance judiciaire a seul qualité de partie dans la procédure incidente y relative, à l'exclusion de son adversaire dans le procès civil principal (ATF 139 III 334 c.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(Tappy, op. cit., n. 16 ad art. 121 CPC). C'est pourquoi l'art. 119 al. 3 CPC prévoit que la partie adverse doit "toujours" être entendue dans la procédure incidente lorsqu'elle requiert des sûretés en garantie des dépens (TF 4A_366/2013 du 20 décembre 2013 c. 3; Bühler, in Commentaire bernois, 2012, n° 120 ad art. 119 CPC et n° 5 ad art. 121 CPC; Rüegg, in Commentaire bâlois, 2 e éd., 2013, n° 9 ad art. 119 CPC). Cette règle s'applique, à tout le moins par analogie, également en deuxième instance (TF 4A_585/2013 du 13 mars 2014 c. 2.1; Bühler, op. cit., n° 21 ad art. 121 CPC; Tappy, op. cit., n° 11 ad art. 121 CPC). La seule protection pour le défendeur, dans ce cas de figure, consiste dans le contrôle que doit faire le juge – au moins prima facie – que l’action n’apparaît pas d’emblée dépourvue de chance de succès (Tappy, op. cit., n. 5 ad art. 99 CPC). En l'espèce, la recourante avait requis des sûretés le 24 septembre 2013 et informé le juge de première instance, par courrier du 11 novembre 2014, qu’elle allait solliciter de nouvelles sûretés, à la suite de l’arrêt de la Chambre de céans du 29 avril 2014 et conformément à sa demande du 6 janvier 2014. Par conséquent, et contrairement à ce qu’affirment les intimés, un intérêt à recourir doit lui être reconnu.</w:t>
      </w:r>
    </w:p>
    <w:p>
      <w:r>
        <w:rPr>
          <w:b/>
        </w:rPr>
        <w:t>E. 1.2</w:t>
      </w:r>
    </w:p>
    <w:p>
      <w:r>
        <w:t>Le recours, écrit et motivé (art. 321 al. 1 CPC), doit s’exercer dans un délai de dix jours pour les décisions prises en procédure sommaire (art. 321 al. 2 CPC). En l’espèce, le premier juge n'a pas indiqué les voies de droit dans sa décision. La recourante a cependant déposé son acte motivé (art. 321 al. 1 CPC) en temps utile (art. 321 al. 2 CPC), de sorte que son recours est recevable, l’absence d’indication des voies de droit ne lui ayant dès lors pas porté préjudice.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en revanche que de corriger une erreur évidente, la notion se recoupant en définitive avec l’appréciation arbitraire des preuves (Corboz et al., Commentaire de la LTF, Berne 2009, n. 19 ad art. 97 LTF, p. 941).</w:t>
      </w:r>
    </w:p>
    <w:p>
      <w:r>
        <w:rPr>
          <w:b/>
        </w:rPr>
        <w:t>E. 2.2</w:t>
      </w:r>
    </w:p>
    <w:p>
      <w:r>
        <w:t>Les allégations de fait et les preuves nouvelles sont irrecevables dans la procédure de recours (art. 326 al. 1 CPC). En l’occurrence, la recourante a produit un bordereau de sept pièces qui figurent déjà toutes au dossier de première instance, de sorte qu’elles sont recevables.</w:t>
      </w:r>
    </w:p>
    <w:p>
      <w:r>
        <w:rPr>
          <w:b/>
        </w:rPr>
        <w:t>E. 3</w:t>
      </w:r>
    </w:p>
    <w:p>
      <w:r>
        <w:t>La recourante reproche au premier juge d’avoir pris sa décision en violation de son droit d’être entendue, puisqu’il a rejeté sa requête sans motiver sa décision. Elle soutient que les conditions d’octroi de l’assistance judiciaire ne sont pas réalisées, de sorte que le premier juge a agi en violation de l’art. 120 CPC.</w:t>
      </w:r>
    </w:p>
    <w:p>
      <w:r>
        <w:rPr>
          <w:b/>
        </w:rPr>
        <w:t>E. 3.1</w:t>
      </w:r>
    </w:p>
    <w:p>
      <w:r>
        <w:t>L’art. 120 CPC dispose que le tribunal retire l’assistance judiciaire lorsque les conditions d’octroi ne sont plus remplies ou qu’il s’avère qu’elles ne l’ont jamais été.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Un vice découlant de la violation du droit d’être entendu ne peut en principe être réparé devant la Chambre des recours civile du Tribunal cantonal, dès lors qu’elle ne dispose pas du même pouvoir de cognition que le premier juge et qu’elle ne peut revoir les faits que sous l’angle de l’arbitraire (cf. art. 320 let. b CPC ; CREC 7 août 2012/259 c. 4b).</w:t>
      </w:r>
    </w:p>
    <w:p>
      <w:r>
        <w:rPr>
          <w:b/>
        </w:rPr>
        <w:t>E. 3.2</w:t>
      </w:r>
    </w:p>
    <w:p>
      <w:r>
        <w:t>En l’espèce, le premier juge avait été saisi d’une première requête de sûretés déposée par la recourante en septembre 2013 et cette dernière l’avait informé, par courrier du 11 novembre 2014, de son intention de requérir à nouveau des sûretés à l’issue de la procédure relative à l’examen du maintien de l’assistance judiciaire déjà octroyée aux intimés. Le premier juge a maintenu l’assistance judiciaire dont les intimés bénéficient depuis mars 2013, sans toutefois indiquer pour quels motifs il avait considéré que les conditions de l’assistance judiciaire visées à l’art. 117 CPC étaient encore réalisées, soit s’il avait procédé à un examen prima facie des chances de succès des intimés dans la procédure qu’ils avaient initié à l’encontre de la recourante. Il n'est dès lors pas possible d’apprécier le bien-fondé de son raisonnement. Ce défaut de motivation constitue une violation du droit d’être entendue de la recourante, qui ne peut être réparé, en l’espèce, devant l’autorité de recours, en raison de son pouvoir de cognition restreint (cf. art. 320 CPC, art. 326 al. 1 CPC).</w:t>
      </w:r>
    </w:p>
    <w:p>
      <w:r>
        <w:rPr>
          <w:b/>
        </w:rPr>
        <w:t>E. 4</w:t>
      </w:r>
    </w:p>
    <w:p>
      <w:r>
        <w:t>février 2015 Le dispositif de l'arrêt qui précède est communiqué par écrit aux intéressés. La greffière : Du L'arrêt qui précède, dont la rédaction a été approuvée à huis clos, est notifié en expédition complète, par l'envoi de photocopies, à : ‑ Me Alain-Valéry Poitry, (pour T.________), ‑ Me Jean-Christophe Oberson, (pour R.________ et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