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20 vom 26. November 2014</w:t>
      </w:r>
    </w:p>
    <w:p>
      <w:r>
        <w:t>VD Tribunal cantonal, 2014-11-26, FR</w:t>
      </w:r>
    </w:p>
    <w:p>
      <w:r>
        <w:rPr>
          <w:b/>
        </w:rPr>
        <w:t xml:space="preserve">Quelle: </w:t>
      </w:r>
      <w:r>
        <w:t>https://mcp.opencaselaw.ch/entscheid/vd_findinfo_HC___2015___20</w:t>
      </w:r>
    </w:p>
    <w:p>
      <w:r>
        <w:t>FR: VD_FINDINFO HC / 2015 / 20 du 26 novembre 2014</w:t>
      </w:r>
    </w:p>
    <w:p>
      <w:r>
        <w:t>IT: VD_FINDINFO HC / 2015 / 20 del 26 novembre 2014</w:t>
      </w:r>
    </w:p>
    <w:p>
      <w:pPr>
        <w:pStyle w:val="Heading2"/>
      </w:pPr>
      <w:r>
        <w:t>Regeste</w:t>
      </w:r>
    </w:p>
    <w:p>
      <w:r>
        <w:t>DÉCISION D'IRRECEVABILITÉ, SIGNATURE, TÉLÉCOPIE | 130 al. 1 CPC (CH), 321 al. 1 CPC (CH)</w:t>
      </w:r>
    </w:p>
    <w:p>
      <w:pPr>
        <w:pStyle w:val="Heading2"/>
      </w:pPr>
      <w:r>
        <w:t>Volltext</w:t>
      </w:r>
    </w:p>
    <w:p>
      <w:r>
        <w:t>Vaud Tribunal cantonal Chambre des recours civile 26.11.2014 HC / 2015 / 20</w:t>
      </w:r>
    </w:p>
    <w:p>
      <w:r>
        <w:t>DÉCISION D'IRRECEVABILITÉ, SIGNATURE, TÉLÉCOPIE | 130 al. 1 CPC (CH), 321 al. 1 CPC (CH)</w:t>
      </w:r>
    </w:p>
    <w:p>
      <w:r>
        <w:t>TRIBUNAL CANTONAL AJ14.042993-142085 417 CHAMBRE DES RECOURS CIVILE _________________________________________ Arrêt du 26 novembre 2014 __________________ Présidence de              M. WINZAP , président Juges :              M. Giroud et Mme Crittin Dayen Greffière : Mme              Vuagniaux ***** Art. 130 al. 1 et 321 al. 1 CPC Statuant à huis clos sur le recours interjeté par G.________ , à St-Prex, contre la décision rendue le 28 octobre 2014 par la Juge de paix du district de Morges dans la cause en institution d’une curatelle en sa faveur, la Chambre des recours civile du Tribunal cantonal voit : En fait et en droit : 1. Par décision du 28 octobre 2014, la Juge de paix du district de Morges a refusé à G.________ le bénéfice de l’assistance judiciaire dans la cause en institution d’une curatelle en sa faveur. 2. Par télécopie envoyée le 27 novembre 2014, G.________ a recouru contre cette décision. 3. Aux termes de l’art. 130 al. 1 CPC (Code de procédure civile du 19 décembre 2008 ; RS 272), les actes sont adressés au tribunal sous forme de documents papier ou électroniques. Ils doivent être signés. Selon l’art. 321 al. 1 CPC, l’acte de recours doit être écrit et motivé. Une partie qui expédie un recours par télécopie sait qu'elle ne remplit pas la condition de la signature manuscrite, de sorte que son recours doit être déclaré irrecevable, sans qu'il lui soit donné l'occasion de remédier à ce vice (ATF 121 II 252 c. 4b ; TF 2C_610/2010 du 21 janvier 2011 c. 2.4 et les réf. citées). En l’espèce, le mémoire de recours envoyé par télécopie ne comporte, par définition, qu’une copie de la signature de G.________. Dès lors que ce document ne comporte pas la signature originale de son auteur, il y a lieu de déclarer le recours irrecevable sans qu’il ne soit nécessaire de fixer un délai à l’intéressée pour remédier à ce vice. 4. L’arrêt peut être rendu sans frais judicaires (art. 10 TFJC [tarif des frais judiciaires en matière civile du 28 septembre 2010 ; RSV 270.11.5]). Par ces motifs, la Chambre des recours civile du Tribunal cantonal, statuant à huis clos, en application de l'art. 322 al. 1 CPC, prononce : I. Le recours est irrecevable. II. L’arrêt, rendu sans frais, est exécutoire. Le président :               La greffière : Du L'arrêt qui précède, dont la rédaction a été approuvée à huis clos, est notifié à : ‑ G.________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