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192 vom 11. Februar 2015</w:t>
      </w:r>
    </w:p>
    <w:p>
      <w:r>
        <w:t>VD Tribunal cantonal, 2015-02-11, FR</w:t>
      </w:r>
    </w:p>
    <w:p>
      <w:r>
        <w:rPr>
          <w:b/>
        </w:rPr>
        <w:t xml:space="preserve">Quelle: </w:t>
      </w:r>
      <w:r>
        <w:t>https://mcp.opencaselaw.ch/entscheid/vd_findinfo_HC___2015___192</w:t>
      </w:r>
    </w:p>
    <w:p>
      <w:r>
        <w:t>FR: VD_FINDINFO HC / 2015 / 192 du 11 février 2015</w:t>
      </w:r>
    </w:p>
    <w:p>
      <w:r>
        <w:t>IT: VD_FINDINFO HC / 2015 / 192 del 11 febbraio 2015</w:t>
      </w:r>
    </w:p>
    <w:p>
      <w:pPr>
        <w:pStyle w:val="Heading2"/>
      </w:pPr>
      <w:r>
        <w:t>Regeste</w:t>
      </w:r>
    </w:p>
    <w:p>
      <w:r>
        <w:t>TRANSACTION JUDICIAIRE, PROTECTION DE L'UNION CONJUGALE, LÉSION{DROIT DES OBLIGATIONS}, REJET DE LA DEMANDE | 21 CO, 279 CPC (CH)</w:t>
      </w:r>
    </w:p>
    <w:p>
      <w:pPr>
        <w:pStyle w:val="Heading2"/>
      </w:pPr>
      <w:r>
        <w:t>Erwägungen</w:t>
      </w:r>
    </w:p>
    <w:p>
      <w:r>
        <w:rPr>
          <w:b/>
        </w:rPr>
        <w:t>E. 1.1</w:t>
      </w:r>
    </w:p>
    <w:p>
      <w:r>
        <w:t>L'appel étant dirigé contre un prononcé de mesures protectrices de l'union conjugale ratifiant une convention judiciaire passée entre les parties, il convient d'examiner en premier lieu si la voie de l'appel est ouverte. L'admissibilité d'un appel contre une transaction judiciaire au sens de l'art. 241 al. 2 CPC ( Code de procédure civile du 19 décembre 2008 ; RS 272) est controversée, au motif que la convention ne constitue pas une décision (Tappy, in CPC commenté, Bâle 2011,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 Tel est notamment le cas lorsqu'une partie apprend une cause d'invalidité de la convention, par exemple  un vice de la volonté, après la décision de première instance, mais alors que celle-ci n'est pas encore exécutoire (JT 2011 III 183; CACI 13 mai 2014/252; Juge délégué CACI 12 septembre 2012/417).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Dans le cas particulier, l'appel est toutefois ouvert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les art. 279ss CPC (TF 5A_74/2014 du 5 août 2014 c. 2; JT 2013 III 67).</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TF 4A_334/2012 du 16 octobre 2012 c. 3.1, SJ 2013 I 311; JT 2011 III 43 c. 2 et les références citées).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En l'espèce, dès lors que le couple a une fille mineure, le litige est régi par la maxime inquisitoire illimitée de l'art. 296 CPC (Hohl, Procédure civile, tome II, 2 e éd., Berne 2010, nn. 1166 ss et 2414 ss). Les pièces produites par l'appelante ont ainsi été prises en compte dans la mesure de leur utilité pour l’examen de la cause.</w:t>
      </w:r>
    </w:p>
    <w:p>
      <w:r>
        <w:rPr>
          <w:b/>
        </w:rPr>
        <w:t>E. 3</w:t>
      </w:r>
    </w:p>
    <w:p>
      <w:r>
        <w:t>L'appelante conteste pour vice du consentement la ratification de la convention intervenue à l’audience du 29 janvier 2015. Elle explique qu'elle a été étonnée que l'intimé se présente à l'audience accompagné d'un avocat. Elle fait valoir qu'elle a accepté de signer la convention car elle s'est sentie acculée par le conseil de son mari, soit son beau-frère. L'appelante invoque être victime d'une lésion au sens de l'art. 21 CO (Code des obligations du 30 mars 1911; RS 220) et soutient que la convention est contraire aux intérêts de sa fille B.Z.________.</w:t>
      </w:r>
    </w:p>
    <w:p>
      <w:r>
        <w:rPr>
          <w:b/>
        </w:rPr>
        <w:t>E. 3.1</w:t>
      </w:r>
    </w:p>
    <w:p>
      <w:r>
        <w:t>Aux termes de l’art. 279 al. 1 1 ère phrase CPC, qui reprend en substance l'art. 140 aCC (TF 5A_721/2012 du 17 janvier 2013 c. 3.2.1, in FamPra.ch 2013 p. 775 et les auteurs cités), le tribunal ratifie la convention sur les effets du divorce après s'être assuré que les époux l'ont signée après mûre réflexion et de leur plein gré, qu'elle est claire et complète et qu'elle n'est pas manifestement inéquitable. Cette disposition est applicable par analogie en cas de convention de mesures protectrices de l'union conjugale. Ces mesures étant, par définition, provisoires et susceptibles d'être revues en cas de modification de la situation des époux, le juge peut se montrer moins exigeant dans l'examen des conditions de l'art. 279 CPC lorsqu'il ratifie une convention de mesures protectrices de l'union conjugale (Juge délégué CACI 14 mai 2012/227; CACI 3 octobre 2012/460). La ratification est ainsi subordonnée à cinq conditions: la mûre réflexion des époux, leur libre volonté, le caractère clair de la convention, son caractère complet et l'absence d'une iniquité manifeste.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23ss CO), ni sous l’emprise du dol (art. 28 CO) ou de la menace (art. 29 CO). Elle n’oblige toutefois pas le juge à rechercher des vices du consentement cachés (FF 1996 I 144 ; TF 5A_899/2007 du 2 octobre 2008 c. 6.3.1, FamPra.ch 2009 p. 749). La partie victime d’un vice du consentement supporte le fardeau de l’allégation et le fardeau de la preuve de ce vice (art. 8 CC ; ATF 97 II 339 c. 1b).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5A_74/2014 du 5 août 2014 c. 3.1; TF 5A_599/2007 du 8 octobre 2008 c. 6.4.1 ; TF 5C_163/2006 du 3 novembre 2010 c. 4.1  à propos de l'ancien art. 140 aCC; CACI 9 juillet 2012/320). L'art. 279 al. 1 CPC ne permet cependant pas au juge de refuser la ratification d'une convention qui ne lui paraîtrait pas totalement juste, cette disposition n'étant pas l'expression du contrôle de l'égalité dans l'échange (JT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"manifestement" utilisé par le législateur montrant que seuls des écarts importants par rapport à une solution équitable peuvent conduire à un refus de ratifier (TF 5A_74/2014 du 5 août 2014 c. 3.1).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(JT 2013 III 6). Le juge doit par ailleurs veiller à ce que la convention ait été conclu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5A_187/2013 du 4 octobre 2013 c. 6; TF 5A_74/2014 du 5 août 2014 c. 4.1).</w:t>
      </w:r>
    </w:p>
    <w:p>
      <w:r>
        <w:rPr>
          <w:b/>
        </w:rPr>
        <w:t>E. 3.2</w:t>
      </w:r>
    </w:p>
    <w:p>
      <w:r>
        <w:t>En l'espèce, on ne voit pas que le seul fait que l'intimé ait été assisté à l'audience d'un avocat, fût-ce son propre frère, constituerait une exploitation de la gêne, de l'inexpérience ou de la légèreté de l'appelante. La convention a été négociée et signée sous l'égide du président. Rien ne laisse apparaître que l'intimé ou son conseil auraient exercé des pressions indues sur l'appelante. Il résulte du procès-verbal qu'après signature de la convention et avant sa ratification, le président a encore interpellé l'appelante sur le point de savoir si elle ne souhaitait pas consulter un avocat et lui soumettre cette convention avant d'en requérir la ratification. Celle-ci a déclaré expressément renoncer en toute connaissance de cause à cette possibilité et a requis ratification séance tenante de cette convention. Le magistrat a alors ratifié la convention sur le siège. Cela étant, on doit retenir que la convention a été passée après mûre réflexion et en toute connaissance de cause, aucun vice du consentement n'étant établi ni même rendu vraisemblable. L'appelante n'expose pas en quoi la convention serait manifestement inéquitable. Même si la liberté d'appréciation du magistrat qui ratifie est plus grande en ce qui concerne le sort des enfants, il n'était pas inadéquat de confier la garde de l'enfant B.Z.________ au père, dont l'appelante ne prétend pas même qu'il ne serait pas apte à s'en occuper conformément à ses intérêts. Elle fait certes valoir sa plus grande disponibilité. Celle-ci résulte du fait qu'elle est actuellement sans emploi. On peut cependant exiger de cette dernière, qui dispose d'une formation d'assistante dentaire et a été employée du 1 er juillet au 30 septembre 2014 par la Dresse [...], qu'elle exerce une activité lucrative, ce qui diminuera sa disponibilité. Elle dit d'ailleurs chercher un emploi. L'attribution conventionnelle de la garde au père n'avait dès lors rien de critiquable, d'autant qu'aucune contribution pour l'entretien de l'enfant n'a été mise à la charge de la mère et que cette dernière y trouve donc une contrepartie. On relèvera encore que, dans ses déterminations, l'intimé avait indiqué être disposé à convenir d'une garde partagée, en cas d'accord de l'appelante à ce sujet, de sorte qu'il appartiendra aux parties de rediscuter le cas échéant les modalités d'exercice de la garde, lorsque l'appelante aura trouvé un emploi stable. Dès lors que la garde a été confiée au père, il n'y avait rien d'inéquitable à attribuer le logement conjugal à ce dernier. Quant à la contribution envers l'épouse, l'appelante ne démontre pas que sa fixation au montant de 600 fr. par mois constituerait une inéquité manifeste. L'intimé avait fait valoir, pièces à l'appui, qu'au vu de ses charges incompressibles et celle de l'enfant, il n'avait aucun disponible et qu'un revenu hypothétique de l'ordre de 4'700 à 5'200 fr. devait être retenu pour l'appelante, au vu de ses qualifications. Il y a eu concessions de part et d'autre, puisque l'intimé a finalement accepté de verser à l'appelante une contribution de 600 fr. par mois, ainsi que les primes d'assurance-maladie pour une période de six mois, tout en assumant seul l'entretien de leur fille. La solution ainsi trouvée n'apparaît pas manifestement inéquitable, à tout le moins l'appelante ne le démontre-t-elle pas.</w:t>
      </w:r>
    </w:p>
    <w:p>
      <w:r>
        <w:rPr>
          <w:b/>
        </w:rPr>
        <w:t>E. 4</w:t>
      </w:r>
    </w:p>
    <w:p>
      <w:r>
        <w:t>Au vu de ce qui précède, l'appel doit être rejeté dans la procédure de l'art. 312 al. 1 CPC et le prononcé ratifiant la convention de mesures protectrices de l'union conjugale confirmé, ce qui rend la requête d'effet suspensif sans objet. Comme l'appel était dépourvu de chances de succès, la demande d'assistance judiciaire de l'appelante doit être rejetée (art. 117 let. b CPC ; cf. juge délégué CACI 23 mars 2012/149). Il convient toutefois de renoncer à mettre à la charge de l’appelante les frais judiciaires de deuxième instance (art. 112 al. 1 CPC), aucune avance n’ayant par ailleurs été encaissée. L'intimé n'ayant pas été invité à se déterminer, il n'y a pas lieu à l'allocation de dépens en sa faveur. Par ces motifs, le juge délégué de la Cour d’appel civile du Tribunal cantonal, statuant à huis clos, en application de l'art. 312 al. 1 CPC, prononce : I. L’appel est rejeté. II. Le prononcé est confirmé. III. La requête d'assistance judiciaire de l'appelante X.________, est rejetée. IV. L'arrêt est rendu sans frais judiciaires de deuxième instance. V. L'arrêt motivé est exécutoire. Le juge délégué : La greffière : Du 12 février 2015 Le dispositif de l'arrêt qui précède est communiqué par écrit aux intéressés. La greffière : Du L'arrêt qui précède, dont la rédaction a été approuvée à huis clos, est notifié en expédition complète, par l'envoi de photocopies, à : ‑ Me Christian Bacon (pour X.________), ‑ Me [...] (pour A.Z.________).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