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 vom 16. Januar 2015</w:t>
      </w:r>
    </w:p>
    <w:p>
      <w:r>
        <w:t>VD Tribunal cantonal, 2015-01-16, FR</w:t>
      </w:r>
    </w:p>
    <w:p>
      <w:r>
        <w:rPr>
          <w:b/>
        </w:rPr>
        <w:t xml:space="preserve">Quelle: </w:t>
      </w:r>
      <w:r>
        <w:t>https://mcp.opencaselaw.ch/entscheid/vd_findinfo_HC___2015___19</w:t>
      </w:r>
    </w:p>
    <w:p>
      <w:r>
        <w:t>FR: VD_FINDINFO HC / 2015 / 19 du 16 janvier 2015</w:t>
      </w:r>
    </w:p>
    <w:p>
      <w:r>
        <w:t>IT: VD_FINDINFO HC / 2015 / 19 del 16 gennaio 2015</w:t>
      </w:r>
    </w:p>
    <w:p>
      <w:pPr>
        <w:pStyle w:val="Heading2"/>
      </w:pPr>
      <w:r>
        <w:t>Regeste</w:t>
      </w:r>
    </w:p>
    <w:p>
      <w:r>
        <w:t>AVOCAT D'OFFICE, HONORAIRES, ASSISTANCE JUDICIAIRE | 110 CPC (CH), 122 al. 1 let. a CPC (CH), 319 let. b ch. 1 CPC (CH)</w:t>
      </w:r>
    </w:p>
    <w:p>
      <w:pPr>
        <w:pStyle w:val="Heading2"/>
      </w:pPr>
      <w:r>
        <w:t>Erwägungen</w:t>
      </w:r>
    </w:p>
    <w:p>
      <w:r>
        <w:rPr>
          <w:b/>
        </w:rPr>
        <w:t>E. 1.1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 recours a été interjeté en temps utile par une personne qui y a intérêt.</w:t>
      </w:r>
    </w:p>
    <w:p>
      <w:r>
        <w:rPr>
          <w:b/>
        </w:rPr>
        <w:t>E. 1.2</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 6.2; TF 5A_855/2012 du 13 février 2013 c. 3.3.2). En l'espèce, le recourant n'a pas pris de conclusions chiffrées et Me T.________ a conclu à l'irrecevabilité du recours de ce fait, ainsi que pour défaut de motivation. Le recourant exprime toutefois clairement sa volonté de remettre en cause l'indemnité allouée à son conseil d'office par le premier juge, qu'il estime excessive compte tenu du fait qu'il avait préparé toutes les preuves nécessaires et que le dossier ne présentait pas de difficulté particulière. Cela étant, on peut admettre que le recourant conclut implicitement à la réforme de la décision attaquée, en ce sens que l'indemnité de son conseil d'office est réduite à un montant fixé à dire de justice. Le recours est ainsi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conteste les listes d'opérations établies par son avocat. Il fait valoir que le dossier était prêt dès le début, avec des copies des correspondances, des photos et autres preuves démontrant qu'il faisait l'objet d'un congé-représailles. Il explique en outre qu'il a choisi son avocat pour sa connaissance du droit du bail et que le dossier ne présentait dès lors aucune difficulté. Me T.________ a pour sa part fait valoir que le dossier n'était pas si simple, que la préparation des écritures et la réunion des preuves s'est avérée fastidieuse, notamment en raison du comportement du bailleur. Il a soutenu que les opérations listées correspondaient au travail effectué. En outre, si les procédures concernant plusieurs locataires avaient été jointes, la situation de chacun avait dû être examinée séparément en détail. Lorsqu'un acte ne nécessitait pas de vérification et d'adaptation, il n'était comptabilisé qu'une seule fois puis réparti à part égales entre les différents mandants.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3.2</w:t>
      </w:r>
    </w:p>
    <w:p>
      <w:r>
        <w:t>En l'espèce, Me T.________ a été désigné en qualité de conseil d'office du recourant dans la cause en protection contre les congés l'opposant à J.________. A titre préalable, il convient de relever que la demande du recourant portait en définitive sur plusieurs objets, soit la prolongation du bail, les frais accessoires et décomptes de chauffage, ainsi que le dommage résultant du défaut de l'installation de chauffage et de la suppression de la buanderie. La cause n'était donc pas dénuée de complexité. Elle impliquait en outre plusieurs parties et il convenait d'adapter la situation aux particularités de chacune. Me T.________ a rencontré son client (conférence d'une heure) avant de rédiger une demande de onze pages, accompagnée d'un bordereau de pièces et d'un bordereau de pièces requises. Ces documents ont dû être adaptés pour chaque locataire. Pour le surplus, s'agissant des opérations propres au recourant, l'avocat a rédigé six lettres et envoyé quatre cartes de transmission. Si l'on admet que la gestion du mandat implique également la lecture des correspondances du client et de la partie adverse, ainsi que l'examen des questions juridiques qui se posent, le temps invoqué par Me T.________, soit 7 heures 20 – dont 1 heure par l'avocat-stagiaire – apparaît correct et adéquat et peut être confirmé. S'agissant des opérations effectuées pour tous les locataires, c'est à juste titre que le premier juge a refusé de tenir compte des opérations effectuées postérieurement au 24 janvier 2014. En effet, à cette date, les parties ont signé une transaction mettant fin au litige et l'affaire a été rayée du rôle. La suite ne relevait dès lors plus du mandat d'office de Me T.________. Les opérations effectuées jusque-là ont consisté en la rédaction de huit lettres et 26 cartes de transmission, en une conférence avec tous les locataires pour préparer l'audience (1 heure 30), en la préparation de l'audience (3 heures) et en l'audience elle-même, laquelle a duré 2 heures 30. Le temps correspondant à ces opérations, chiffré par l'avocat à 12 heures 05 – dont 4 heures 05 par l'avocat-stagiaire – peut également être admis. La partie imputable au recourant est d'un quart. Aux tarifs horaires respectifs de 180 fr. et 110 fr., l'indemnité pour l'avocat est donc arrêtée à 1'499 fr. 40 (8.33 x 180.-) et celle pour l’avocat-stagiaire à 222 fr. 20 (2.02 x 110.-). Le défraiement du conseil d'office s'élève ainsi à 1'859 fr. 35, dont 137 fr. 75 à titre de TVA. Ce montant correspond à l'indemnité allouée par le premier juge.</w:t>
      </w:r>
    </w:p>
    <w:p>
      <w:r>
        <w:rPr>
          <w:b/>
        </w:rPr>
        <w:t>E. 3.3</w:t>
      </w:r>
    </w:p>
    <w:p>
      <w:r>
        <w:t>Me T.________ a pour le surplus facturé des débours par 68 fr. 30 pour le seul recourant et 266 fr. 40 pour l'ensemble des locataires (66 fr. 60 pour le recourant). Les frais courants, notamment de photocopies, font partie des frais généraux de l’avocat et ne peuvent en principe être facturés en sus (CREC 14 novembre 2013/377). C'est ainsi un montant de 33 fr. 30 qui doit être déduit de la première liste et 128 fr. 40 de la liste commune (32 fr. 10 pour le recourant). Les débours qui doivent être admis s'élèvent donc à 69 fr. 50 (35 fr. + 34 fr. 50), plus 5 fr. 50 à titre de TVA, soit 75 fr. au total.</w:t>
      </w:r>
    </w:p>
    <w:p>
      <w:r>
        <w:rPr>
          <w:b/>
        </w:rPr>
        <w:t>E. 4</w:t>
      </w:r>
    </w:p>
    <w:p>
      <w:r>
        <w:t>En définitive, le recours doit être très partiellement admis et le prononcé attaqué réformé à son chiffre I en ce sens que l'indemnité de conseil d'office de H.________ allouée à Me T.________ est fixée à 1'934 fr. 35 (1'859 fr. 35 + 75 fr.). Les frais judiciaires de deuxième instance, arrêtés à 100 fr. (art. 69 al. 3 TFJC [tarif des frais judiciaires civils du 28 septembre 2010 ; RSV 270.11.5]), sont mis par 75 fr. à la charge du recourant dès lors qu'il n'obtient gain de cause que dans une très faible mesure, et laissés par 25 fr. à la charge de l'Etat (art. 106 al. 2 et 107 al. 2 CPC). Par ces motifs, la Chambre des recours civile du Tribunal cantonal, statuant à huis clos, prononce : I. Le recours est très partiellement admis. II. Le prononcé est réformé au chiffre I de son dispositif comme il suit: "I. fixe l'indemnité de conseil d'office de H.________ allouée à Me T.________ à 1'934 fr. 35 (mille neuf cent trente-quatre francs et trente-cinq centimes), correspondant à : - 1'859 fr. 35 de défraiement (dont 137 fr. 75 de TVA) - 75 fr. de débours (dont 5 fr. 50 de TVA)." Le prononcé est confirmé pour le surplus. III. Les frais judiciaires de deuxième instance, arrêtés à 100 fr. (cent francs), sont mis par 75 fr. (septante-cinq francs) à la charge de H.________ et laissés par 25 fr. (vingt-cinq francs) à la charge de l’Etat. IV. L’arrêt est exécutoire. Le président :               La greffière : Du L'arrêt qui précède, dont la rédaction a été approuvée à huis clos, est notifié à : ‑ M. H.________,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