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183 vom 20. Februar 2015</w:t>
      </w:r>
    </w:p>
    <w:p>
      <w:r>
        <w:t>VD Tribunal cantonal, 2015-02-20, FR</w:t>
      </w:r>
    </w:p>
    <w:p>
      <w:r>
        <w:rPr>
          <w:b/>
        </w:rPr>
        <w:t xml:space="preserve">Quelle: </w:t>
      </w:r>
      <w:r>
        <w:t>https://mcp.opencaselaw.ch/entscheid/vd_findinfo_HC___2015___183</w:t>
      </w:r>
    </w:p>
    <w:p>
      <w:r>
        <w:t>FR: VD_FINDINFO HC / 2015 / 183 du 20 février 2015</w:t>
      </w:r>
    </w:p>
    <w:p>
      <w:r>
        <w:t>IT: VD_FINDINFO HC / 2015 / 183 del 20 febbraio 2015</w:t>
      </w:r>
    </w:p>
    <w:p>
      <w:pPr>
        <w:pStyle w:val="Heading2"/>
      </w:pPr>
      <w:r>
        <w:t>Regeste</w:t>
      </w:r>
    </w:p>
    <w:p>
      <w:r>
        <w:t>ASSISTANCE JUDICIAIRE, AVOCAT, HONORAIRES | 2 al. 1 RAJ</w:t>
      </w:r>
    </w:p>
    <w:p>
      <w:pPr>
        <w:pStyle w:val="Heading2"/>
      </w:pPr>
      <w:r>
        <w:t>Erwägungen</w:t>
      </w:r>
    </w:p>
    <w:p>
      <w:r>
        <w:rPr>
          <w:b/>
        </w:rPr>
        <w:t>E. 1</w:t>
      </w:r>
    </w:p>
    <w:p>
      <w:r>
        <w:t>L'art. 110 CPC (Code de procédure civile du 19 décembre 2008 ; RS 210) ouvre la voie du recours séparé de l’art. 319 let. b ch. 1 CPC contre les décisions fixant l’indemnité du conseil d’office, cette indemnité étant considérée comme des frais au sens de l’art. 95 CPC (CREC 16 janvier 2015/375 ; CREC 15 avril 2014/140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 recours a été interjeté en temps utile par une personne qui y a intérêt.</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(HohI, Procédure civile, tome Il, 2 e éd., 2010, n. 2508, p. 452). Comme pour l’art. 97 aI.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a) La recourante s’oppose à ce qu’une indemnité de conseil d’office soit allouée à Me C.________, au motif notamment que celui-ci n’aurait pas eu besoin d’agir dans le cadre de son mandat. Elle admet cependant qu’elle a signé une demande d’assistance judiciaire pour une procédure en divorce avec désignation de Me C.________ en qualité de conseil d’office et qu’elle a repris contact avec celui-ci au printemps 2014.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 En l'espèce, Me C.________ a été désigné en qualité de conseil d'office de la recourante dans la cause en divorce l'opposant à W.________. A l’examen du dossier produit par Me C.________, on constate que les opérations sont effectives. Ainsi, le dossier contient les</w:t>
      </w:r>
    </w:p>
    <w:p>
      <w:r>
        <w:rPr>
          <w:b/>
        </w:rPr>
        <w:t>E. 8</w:t>
      </w:r>
    </w:p>
    <w:p>
      <w:r>
        <w:t>correspondances mentionnées dans sa liste d’opérations. Il ressort également des correspondances du 3 avril 2013 et du 8 mai 2013 que divers entretiens ont eu lieu avec la cliente. Enfin, des contacts avec la partie adverse par l’intermédiaire de son avocat ont eu lieu, notamment en vue de signer une convention à l’amiable, comme cela ressort de la correspondance du 25 mars 2013. Partant, il était justifié d’octroyer à Me C.________ une indemnité d’office, dont le montant apparaît du reste parfaitement correct au vu du dossier. 4. Compte tenu de ce qui précède, le recours doit être rejeté et la décision attaquée confirmée. Les frais judiciaires de deuxième instance, arrêtés à 100 fr. (art. 69 al. 1 TFJC), sont mis à la charge de la recourante qui succombe (art. 106 al. 1 CPC). Il n’y a pas lieu à l’octroi de dépens, dès lors que Me C.________ a agi dans sa propre cause (art. 22 al. 1 TDC [tarif des dépens en matière civile du 23 novembre 2010 ; RSV 270.11.6) et qu’il n’en a de toute manière pas requis. Par ces motifs, la Chambre des recours civile du Tribunal cantonal, statuant à huis clos, prononce : I. Le recours est rejeté. II. La décision est confirmée. III. Les frais judiciaires de deuxième instance, arrêtés à 100 fr. (cent francs), sont mis à la charge de la recourante R.________. IV. L’arrêt motivé est exécutoire. Le président :               La greffière : Du 23 février 2014 Le dispositif de l'arrêt qui précède est communiqué par écrit aux intéressés. La greffière : Du L'arrêt qui précède, dont la rédaction a été approuvée à huis clos, est notifié en expédition complète, par l'envoi de photocopies, à : ‑ Mme R.________, ‑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