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177 vom 15. Januar 2015</w:t>
      </w:r>
    </w:p>
    <w:p>
      <w:r>
        <w:t>VD Tribunal cantonal, 2015-01-15, FR</w:t>
      </w:r>
    </w:p>
    <w:p>
      <w:r>
        <w:rPr>
          <w:b/>
        </w:rPr>
        <w:t xml:space="preserve">Quelle: </w:t>
      </w:r>
      <w:r>
        <w:t>https://mcp.opencaselaw.ch/entscheid/vd_findinfo_HC___2015___177</w:t>
      </w:r>
    </w:p>
    <w:p>
      <w:r>
        <w:t>FR: VD_FINDINFO HC / 2015 / 177 du 15 janvier 2015</w:t>
      </w:r>
    </w:p>
    <w:p>
      <w:r>
        <w:t>IT: VD_FINDINFO HC / 2015 / 177 del 15 gennaio 2015</w:t>
      </w:r>
    </w:p>
    <w:p>
      <w:pPr>
        <w:pStyle w:val="Heading2"/>
      </w:pPr>
      <w:r>
        <w:t>Regeste</w:t>
      </w:r>
    </w:p>
    <w:p>
      <w:r>
        <w:t>LIQUIDATION DU RÉGIME MATRIMONIAL, PARTICIPATION AUX ACQUÊTS, OBLIGATION D'ENTRETIEN, CONJOINT, JUGEMENT DE DIVORCE | 125 CC, 208 al. 1 CC, 208 CC, 209 CC</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formé en temps utile, par une partie qui y a un intérêt digne de protection (art. 59 al. 2 let. a CPC), contre une décision finale de première instance portant sur des conclusions qui, capitalisées selon l’art. 92 al. 1 CPC, sont supérieures à 10’000 fr., l’appel est recevable.</w:t>
      </w:r>
    </w:p>
    <w:p>
      <w:r>
        <w:rPr>
          <w:b/>
        </w:rPr>
        <w:t>E. 1.9</w:t>
      </w:r>
    </w:p>
    <w:p>
      <w:r>
        <w:t>ad art. 208 CC 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les pièces produites par l’appelant sont postérieures à l’audience de jugement et sont recevables. Il en va de même des pièces produites par l’intimée.</w:t>
      </w:r>
    </w:p>
    <w:p>
      <w:r>
        <w:rPr>
          <w:b/>
        </w:rPr>
        <w:t>E. 3</w:t>
      </w:r>
    </w:p>
    <w:p>
      <w:r>
        <w:t>L’appelant conteste certains éléments de la liquidation du régime matrimonial.</w:t>
      </w:r>
    </w:p>
    <w:p>
      <w:r>
        <w:rPr>
          <w:b/>
        </w:rPr>
        <w:t>E. 3.1</w:t>
      </w:r>
    </w:p>
    <w:p>
      <w:r>
        <w:t>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JT 1997 I 134). A teneur de l'art. 207 al. 1 CC, les acquêts et les biens propres de chaque époux sont disjoints dans leur composition au jour de la dissolution du régime. Il y a lieu à récompense entre les acquêts et les biens propres d'un même époux lorsqu'une dette grevant l'une des masses a été payée de deniers provenant de l'autre masse (art. 209 al. 1 CC). Des acquêts de chaque époux, réunions et récompenses comprises, on déduit toutes les dettes qui les grèvent pour dégager le bénéfice (art. 210 al. 1 CC). Chaque époux ou sa succession a droit à la moitié du bénéfice de l’autre (art. 215 al. 1 CC). A la liquidation du régime matrimonial, les biens sont estimés à leur valeur vénale (art. 211 CC).</w:t>
      </w:r>
    </w:p>
    <w:p>
      <w:r>
        <w:rPr>
          <w:b/>
        </w:rPr>
        <w:t>E. 3.2</w:t>
      </w:r>
    </w:p>
    <w:p>
      <w:r>
        <w:t>Dans la mesure où l’appelant semble remettre en cause la récompense retenue concernant la valeur de rachat de l’assurance vie, son moyen est privé d’objet. En effet, les premiers juges ont retenu la récompense de 24’333 fr. 60 qu’il revendique et ont tenu compte de ce que cette contribution représentait 1.118 de la valeur juste après l’investissement, de sorte que la récompense des acquêts de l’appelant contre les biens propres s’élevait à 30’422 francs. La solution retenue par le tribunal est donc favorable à l’appelant et est admise par l’intimée. Il n’y a pas lieu de s’en écarter.</w:t>
      </w:r>
    </w:p>
    <w:p>
      <w:r>
        <w:rPr>
          <w:b/>
        </w:rPr>
        <w:t>E. 3.3</w:t>
      </w:r>
    </w:p>
    <w:p>
      <w:r>
        <w:t>L’appelant soutient qu’un montant de 10’000 fr. aurait dû être retenu pour le véhicule et le mobilier conservés par l’intimée. En première instance, l’appelant avait offert de prouver ses allégations relatives à la valeur du mobilier par la pièce requise 154, soit toutes preuves d’achat des meubles sis dans l’appartement de B.R.________ et par la pièce 155, soit la copie de l’assurance RC de l’appartement. La pièce 155 a été produite le 15 avril 2014. S’agissant de la pièce 154, l’intimée a indiqué qu'elle n’existait plus. On ne saurait déduire de ce seul élément que l’intimée aurait violé son obligation de collaborer, s’agissant de meubles acquis de longue date, ni qu’en l’absence de tout autre élément la valeur alléguée par l’appelant devrait être retenue. L’intimée ayant invoqué le fait que ces meubles, provenant de magasins de meubles bon marché, n’avaient plus aucune valeur vénale, il incombait à l’appelant - qui supportait le fardeau de la preuve (art. 8 CC) - d’offrir d’autres preuves, telle l’expertise, pour démontrer que ces meubles avaient encore une valeur vénale au moment de la liquidation du régime matrimonial. Les preuves initialement offertes n’étaient d’ailleurs pas de nature à établir cette valeur. Quant au véhicule, dont l’appelant prétendait qu’il valait 4’000 fr., l’intimée a produit, à titre de pièce 156, la carte grise du véhicule [...], dont il résulte qu’il a été mis en circulation le 21 janvier 2005. Dans ces circonstances, il était admissible de retenir que, neuf ans plus tard, ce véhicule n’avait plus aucune valeur vénale. Là encore, il aurait appartenu à l’appelant de produire d’autres pièces (p.ex. l’évaluation eurotax d’un tel véhicule) ou de requérir une expertise pour établir une éventuelle valeur résiduelle.</w:t>
      </w:r>
    </w:p>
    <w:p>
      <w:r>
        <w:rPr>
          <w:b/>
        </w:rPr>
        <w:t>E. 3.4.1</w:t>
      </w:r>
    </w:p>
    <w:p>
      <w:r>
        <w:t>L’appelant soutient qu’il y aurait lieu de réunir aux acquêts le montant total de 49’773 fr. 10 que l’intimée aurait prélevé des comptes communs pour le virer sur un compte à son nom. Se prévalant à cet égard d’une violation de l’art. 208 al. 1 ch. 2 CC, il fait valoir que l’intimée aurait soustrait ces montants intentionnellement dans le but de compromettre le bénéfice de l’union conjugale à la liquidation.</w:t>
      </w:r>
    </w:p>
    <w:p>
      <w:r>
        <w:rPr>
          <w:b/>
        </w:rPr>
        <w:t>E. 3.4.2</w:t>
      </w:r>
    </w:p>
    <w:p>
      <w:r>
        <w:t>Les actifs du compte d’acquêts sont en règle générale estimés à leur valeur vénale à l’époque de la liquidation (art. 211 CC). Sont réunis aux acquêts notamment les aliénations de biens d’acquêts qu’un époux a faites pendant le régime dans l’intention de compromettre la participation de son conjoint (art. 208 al. 1 ch. 2 CC). Cette dernière disposition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Commentaire romand CC I, Bâle 2010, n. 18 ad art. 208 CC).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(Deschenaux/Steinauer/Baddeley, Les effets du mariage, 2 e éd., n. 1332, p. 610).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(Deschenaux/Steinauer/Baddeley, op. cit., n. 1333, p. 610).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Cette disposition n’implique pas un tel renversement du fardeau de la preuve (De Luze/Page/Stoudmann, Droit de la famille, 2013, n.</w:t>
      </w:r>
    </w:p>
    <w:p>
      <w:r>
        <w:rPr>
          <w:b/>
        </w:rPr>
        <w:t>E. 3.4.3</w:t>
      </w:r>
    </w:p>
    <w:p>
      <w:r>
        <w:t>En l'espèce, il est constant que les parties se sont séparées à fin août 2009. L’appelant allègue que l’intimée a effectué le 25 septembre 2009 un retrait de 20’000 fr. sur le compte commun du couple auprès de la Banque Raiffeisen pour le transférer sur un compte au nom de l'épouse, puis deux retraits de 1’000 fr. chacun ainsi qu’un retrait de 18’000 francs. Il en est allé de même d’un montant de 5’116 fr. 25 sur un compte Postfinance. Enfin, des titres [...] ont été vendus, dont le produit a été versé sur un compte commun, clôturé par l’intimée le 22 décembre 2011. L’intimée ne conteste pas la réalité de ces retraits, mais soutient que, l'appelant n'ayant pas contribué à l'entretien des siens pour les mois de septembre à décembre 2009, elle n'avait pas eu d'autre choix que de prélever de quoi vivre sur les acquêts du couple, ce d'autant qu'elle n'avait alors pour seul revenu que son salaire auprès de la société [...], soit 1'346 fr. 10 net par mois. Elle dit encore avoir utilisé une partie de ce montant pour payer son conseil. Elle fait en outre valoir que l'appelant n'avait nullement démontré qu'elle avait eu l'intention de compromettre sa participation. On doit tout d’abord relever que le seul transfert d’un compte commun sur un compte au seul nom de l’intimée ne saurait en aucun cas constituer une aliénation visée par l’art. 208 CC, puisque le compte de l’intimée constituait également un acquêt. Seule l’utilisation ultérieure des montants ainsi transférés aurait été susceptible de constituer une aliénation visée par l’art. 208 CC. L’appelant n’a cependant pas allégué, encore moins établi, quelle utilisation des fonds ainsi transférés aurait rempli les conditions d’application de l’art. 208 CC. Les allégations de l’intimée sur l’utilisation de l’essentiel de cet argent pour les besoins de la famille et pour ses dépenses d’avocat, notamment pendant les quatre mois durant lesquels l’appelant n’a versé aucune contribution paraissent, au contraire, vraisemblables. Ainsi, mal fondé, le grief de l'appelant doit être rejeté.</w:t>
      </w:r>
    </w:p>
    <w:p>
      <w:r>
        <w:rPr>
          <w:b/>
        </w:rPr>
        <w:t>E. 3.5</w:t>
      </w:r>
    </w:p>
    <w:p>
      <w:r>
        <w:t>L’appelant soutient que l’intimée lui devrait la somme de 10’307 fr. 60 à titre d’impôts en application de la convention du 14 décembre 2009, ceci dès lors qu'il s'était acquitté de l'intégralité des montants d'impôts dus par le couple. Il ressort de la convention de mesures protectrices de l’union conjugale du 14 décembre 2009 et de la convention de répartition du 10 février 2010 que les parties avaient prévu de s’acquitter par moitié chacune des impôts impayés du couple et ont fixé une clé de répartition par moitié entre elles pour les montants perçus au titre des acomptes du couple résultant de décomptes finaux afférant à des périodes fiscales antérieures et d’éventuelles avances. Selon relevé de compte établi par l’Office d’impôt du district de Morges le 30 septembre 2010, les impôts dus par les parties s’élevaient à 20’615 fr. 25. Il résulte de ce même compte que des acomptes de 7’245 fr. 95 avaient été payés. Il n’est pas contesté que c’est l’appelant qui a réglé ces acomptes. Chaque partie devant assumer la moitié des impôts du couple, soit 10’307 fr. 60, c’est à bon droit que les premiers juges ont retenu que l’intimée avait une dette d’impôt de 10’307 fr. 60 et l’appelant de 3’061 fr. 65 compte tenu des acomptes versés par 7’245 fr. 95, et que ces sommes venaient respectivement en diminution de l’actif du compte d’acquêts de chacun des époux. Il incombait à l’appelant d’établir avoir payé plus que sa part pour faire valoir une créance envers l’intimée. Cette preuve n’est pas établie, l’appelant se contentant de simples allégations.</w:t>
      </w:r>
    </w:p>
    <w:p>
      <w:r>
        <w:rPr>
          <w:b/>
        </w:rPr>
        <w:t>E. 3.6</w:t>
      </w:r>
    </w:p>
    <w:p>
      <w:r>
        <w:t>L’appelant soutient que les 9’000 fr. qu’il a laissés dans l’appartement lors de son départ devraient lui être restitués, s’agissant de biens propres. A l’audience du 5 mai 2014, l’intimée a reconnu que cette somme avait été donnée à l’appelant par sa mère. Elle a expliqué que cette somme avait été intégralement dépensée, d’une part pour payer les réparations sur une voiture par 6’000 fr. et d’autre part pour s’acquitter des frais d’écolage pour leur fils aîné M.________, ce qui n’est pas contesté en appel. Cela étant, c’est à juste titre que les premiers juges ont considéré que les paiements ainsi effectués grevaient les acquêts et que les propres de l’appelant avaient une récompense ordinaire ou fixe de 9’000 fr. envers les acquêts (art. 209 al. 1 CC). Au vu de ce qui précède, tous les griefs de l’appelant relatifs à la liquidation du régime matrimonial doivent être rejetés et le jugement confirmé sur cette question.</w:t>
      </w:r>
    </w:p>
    <w:p>
      <w:r>
        <w:rPr>
          <w:b/>
        </w:rPr>
        <w:t>E. 4</w:t>
      </w:r>
    </w:p>
    <w:p>
      <w:r>
        <w:t>L’appelant, se prévalant d’un nova recevable, soit du nouvel emploi de l’intimée, soutient que celle-ci serait désormais en mesure de contribuer par ses propres moyens à son entretien convenable, de sorte que l’octroi d’une contribution post-divorce ne serait pas justifiée.</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La jurisprudence retient que, indépendamment de sa durée, un mariage influence concrètement la situation des conjoints lorsque ceux-ci ont des enfants communs.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TF 5C.320/2006 du 1 er février c. 5.6.2.2). La présomption peut être renversée, en fonction d’autres éléments qui plaideraient en faveur de la prise ou de l’augmentation d’une activité lucrative (TF 5A_6/2009 du 30 avril 2009 c. 2.2 ; TF 5A_76/2009 du 4 mai 2009 c. 6.2.5 ; TF 5A_210/2008 du 14 novembre 2008 c. 4.4 et 3.4, non publié in ATF 135 III 158). La limite d’âge tend à être augmentée à cinquante ans (TF 5A_71/2013 du 28 mars 2013 c. 1.3).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 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En particulier, s’il est établi que les époux ne réalisaient pas d’économies durant le mariage, ou encore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se fonder sur la méthode du minimum vital élargi avec répartition des excédents (TF 5A_748/2012 du 15 mai 2013 c. 6.2.2, in FamPra.ch 2013 n. 46 p. 759; ATF 137 III 102 c. 4.2.1.1).</w:t>
      </w:r>
    </w:p>
    <w:p>
      <w:r>
        <w:rPr>
          <w:b/>
        </w:rPr>
        <w:t>E. 4.2</w:t>
      </w:r>
    </w:p>
    <w:p>
      <w:r>
        <w:t>En l’espèce, les premiers juges ont considéré que l’intimée n’avait qu’un certificat fédéral de capacité sans expérience professionnelle solide, s’étant tenue à l’écart du marché du travail pendant près de sept ans pour se consacrer à l’éducation des enfants, qu’elle réalisait un revenu mensuel de l’ordre de 1’860 fr. par mois pour un emploi à 30%, qu’elle avait effectué des recherches d’emploi essentiellement comme secrétaire ou collaboratrice administrative, adressant entre 10 et 15 offres d’emploi par mois et que, dans ces circonstances elle avait fourni l’effort que l’on pouvait exiger d’elle pour augmenter son taux de travail et sa capacité contributive, de sorte qu’il n’y avait pas lieu de tenir compte en l’état d’un revenu hypothétique. A moyen terme, elle devait cependant trouver une activité professionnelle bien rémunérée à 100 % qui lui permette de subvenir à ses besoins, de sorte qu’il y avait lieu de limiter la durée de la contribution, fixée à 1’500 fr. par mois, à fin décembre 2019. Il ressort des pièces produites en appel que l’intimée a été engagée par l’Etat de Vaud (Service de la population) comme gestionnaire de dossiers à 50 % pour une durée indéterminée dès le 1 er juillet 2014. Son revenu mensuel net s’élève à 3'141 fr, 25, versé 13 fois l’an, soit 3’403 fr. par mois. L’intimée a en outre été engagée à 20% par l’Etat de Vaud (Service de la population) par contrat de durée déterminée pour la période du 1er octobre 2014 au 31 décembre 2014 pour un salaire net de 1’128 fr, versé 13 fois l’an prorata temporis, soit 1’222 fr. par mois. Il n’est pas établi que cet emploi complémentaire de durée déterminée puisse se transformer en emploi de durée indéterminée. En l’état, il y a dès lors lieu de ne prendre en considération que le revenu de 3’403 fr. réalisé à 50 %, sans tenir compte d'un revenu hypothétique. S’agissant de ses charges, l’intimée fait valoir que ses assurances-maladie ont augmenté à 523 fr. 70 par mois, ce qui peut être admis sur la base de la pièce 105. Elle invoque des frais de transport de 130 fr., ce qui peut être admis sur la base de la pièce 103. On pourra aussi retenir les frais de repas allégués par 160 fr. correspondant aux frais admis par les Lignes directrices pour le calcul du minimum vital, ainsi que les impôts par 234 fr. sur la base de la pièce 104. Elle fait enfin valoir à juste titre des frais de loyer de 1’270 fr. par mois (pièce 22), au lieu de 762 fr. retenus par le premier juge. Ses charges sont donc de 3’822 fr. 10. Compte tenu d’un revenu de 3’403 fr., son déficit est de 419 fr. par mois. Il n’y a pas lieu de majorer le minimum vital de l’intimée de 20% comme celle-ci le soutient. La majoration forfaitaire de 20%, opérée sous l’ancien droit du divorce en relation avec les pensions alimentaires au sens de l’art. 152 aCC, qui ne portait au demeurant que sur la seule base mensuelle et non sur les autres postes du minimum vital (ATF 129 III 385 e. 5.2.2.), ne se justifie en principe plus en droit actuel (TF 5A_229/2013 du 25 septembre 2013 c. 5.2; TF 5A_673/2011 du 11 avril 2012 c. 2.3.2). Les revenus et charges de l’appelant ne sont pas remis en cause en appel. On peut s’en tenir aux chiffres retenus par le premier juge, soit des revenus de 8’266 fr. 13 par mois et des charges de 6’189 fr. 60, laissant un disponible de 2’076 fr. 53 par mois. Compte tenu des revenus des époux, on pourra appliquer en l’espèce la méthode du minimum vital avec répartition des excédents. L’intimé doit couvrir le manco par 419 fr. Le solde du disponible, par 1'657 fr. sera réparti par moitié, soit 828 francs. La contribution sera dès lors fixée à 1'247 fr. (soit 828 fr. + 419 fr.), arrondi à 1’250 francs. Le fait que l’intimée ait pu trouver rapidement un emploi complémentaire de 20%, certes de durée déterminée, démontre qu’elle est apte à se réinsérer entièrement plus rapidement que retenu par les premiers juges sur le marché du travail, de sorte qu'il convient de limiter la contribution à trois ans, soit jusqu’en décembre 2017. L’appel est ainsi partiellement admis en ce sens que la contribution est réduite à 1’250 fr. jusqu’au 31 décembre 2017.</w:t>
      </w:r>
    </w:p>
    <w:p>
      <w:r>
        <w:rPr>
          <w:b/>
        </w:rPr>
        <w:t>E. 5.1</w:t>
      </w:r>
    </w:p>
    <w:p>
      <w:r>
        <w:t>Au vu de ce qui précède, l’appel doit être partiellement admis et le jugement entrepris réformé au chiffre VIII de son dispositif en ce sens que A.R.________ contribuera à l’entretien de B.R.________ par le régulier versement d’une pension de 1’250 fr. payable d’avance le premier de chaque mois en mains de la bénéficiaire, dès le jugement définitif et exécutoire et ce jusqu’au 31 décembre 2017. Le jugement sera confirmé pour le surplus, étant précisé qu’au vu de l’admission très partielle de l’appel, il n’y a pas lieu de modifier la répartition des frais opérée par le premier juge. L’appelant succombe entièrement sur la question de la liquidation du régime matrimonial et ne gagne que très partiellement sur la pension après divorce. Les frais judiciaires de deuxième instance, arrêtés à 600 fr. (63 al. 3 TFJC [tarif des frais judiciaires civils du 28 septembre 2010, RSV 270.11.5]), doivent dès lors être répartis à raison de 4/5, soit 480 fr., pour l’appelant et à raison de 1/5, soit 120 fr., pour l’intimée (art. 106 al. 2 CPC). Les parties se trouvant toutes deux au bénéfice de l’assistance judiciaire, ces frais seront laissés à la charge de l’Etat.</w:t>
      </w:r>
    </w:p>
    <w:p>
      <w:r>
        <w:rPr>
          <w:b/>
        </w:rPr>
        <w:t>E. 5.2</w:t>
      </w:r>
    </w:p>
    <w:p>
      <w:r>
        <w:t>Dans sa liste d’opérations produite le 12 janvier 2015, Me Gaspard Couchepin a indiqué des opérations d'une durée de 7 heures et 30 minutes pour sa stagiaire, et 1 heure et 43 minutes pour lui-même. Au vu de la complexité en fait et en droit de la cause, il y a lieu de retenir 1 heure de travail pour lui et 7 heures de travail pour sa stagiaire. Il s’ensuit qu’au tarif horaire de 110 fr. pour une stagiaire et 180 fr. pour un avocat breveté (art. 2 al. 1 RAJ [règlement sur l’assistance judiciaire en matière civile du 7 décembre 2010, RSV 211.02.4]), l’indemnité de Me Gaspard Couchepin doit être fixée à 1’026 fr., y compris la TVA par 76 francs. Le conseil de l’intimée, Me Dominique-Anne Kirchhofer, a indiqué avoir consacré</w:t>
      </w:r>
    </w:p>
    <w:p>
      <w:r>
        <w:rPr>
          <w:b/>
        </w:rPr>
        <w:t>E. 5.3</w:t>
      </w:r>
    </w:p>
    <w:p>
      <w:r>
        <w:t>Vu l’issue du litige, l’appelant A.R.________ versera à l’intimée B.R.________ la somme de 1’500 fr. à titre de dépens de deuxième instance (art. 8 TDC).</w:t>
      </w:r>
    </w:p>
    <w:p>
      <w:r>
        <w:rPr>
          <w:b/>
        </w:rPr>
        <w:t>E. 10</w:t>
      </w:r>
    </w:p>
    <w:p>
      <w:r>
        <w:t>heures et 28 minutes au dossier, dont 9 heures et 30 minutes à la rédaction de la réponse, ce qui apparaît excessif et sera ramené à 8 heures. Le temps consacré à la rédaction de "mémos" sera en outre réduit de 30 minutes. Cela représente un nombre d’heures de travail total de 10 heures et 30 minutes. Les débours, s'élevant à 90 fr. 40, seront réduits à 15 fr. 40, dès lors que les photocopies, annoncées pour une valeur totale de 75 fr., constituent des frais généraux. En définitive, l’indemnité de Me Dominique-Anne Kirchhofer comprend les honoraires par 1’890 fr., les débours par 15 fr. 40 et la TVA sur le tout par 152 fr. 40, soit une indemnité totale de 2’057 fr. 80, arrondie à 2’058 francs.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