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176 vom 5. Januar 2015</w:t>
      </w:r>
    </w:p>
    <w:p>
      <w:r>
        <w:t>VD Tribunal cantonal, 2015-01-05, FR</w:t>
      </w:r>
    </w:p>
    <w:p>
      <w:r>
        <w:rPr>
          <w:b/>
        </w:rPr>
        <w:t xml:space="preserve">Quelle: </w:t>
      </w:r>
      <w:r>
        <w:t>https://mcp.opencaselaw.ch/entscheid/vd_findinfo_HC___2015___176</w:t>
      </w:r>
    </w:p>
    <w:p>
      <w:r>
        <w:t>FR: VD_FINDINFO HC / 2015 / 176 du 5 janvier 2015</w:t>
      </w:r>
    </w:p>
    <w:p>
      <w:r>
        <w:t>IT: VD_FINDINFO HC / 2015 / 176 del 5 gennaio 2015</w:t>
      </w:r>
    </w:p>
    <w:p>
      <w:pPr>
        <w:pStyle w:val="Heading2"/>
      </w:pPr>
      <w:r>
        <w:t>Regeste</w:t>
      </w:r>
    </w:p>
    <w:p>
      <w:r>
        <w:t>HONORAIRES, AVOCAT D'OFFICE, INDEMNITÉ{EN GÉNÉRAL} | 110 CPC (CH), 122 CPC (CH), 319 let. b ch. 1 CPC (CH)</w:t>
      </w:r>
    </w:p>
    <w:p>
      <w:pPr>
        <w:pStyle w:val="Heading2"/>
      </w:pPr>
      <w:r>
        <w:t>Erwägungen</w:t>
      </w:r>
    </w:p>
    <w:p>
      <w:r>
        <w:rPr>
          <w:b/>
        </w:rPr>
        <w:t>E. 1</w:t>
      </w:r>
    </w:p>
    <w:p>
      <w:r>
        <w:t>a) L'art. 110 CPC ouvre la voie du recours séparé de l’art. 319 let. b ch. 1 CPC contre les décisions fixant l’indemnité du conseil d’office, cette indemnité étant considérée comme des frais au sens de l’art. 95 CPC (CREC 15 avril 2014/140; CREC 13 février 2013/52; Tappy, CPC commenté, 2011,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 e éd., 2014, n. 27 ad art. 97 LTF, p. 1117).</w:t>
      </w:r>
    </w:p>
    <w:p>
      <w:r>
        <w:rPr>
          <w:b/>
        </w:rPr>
        <w:t>E. 3</w:t>
      </w:r>
    </w:p>
    <w:p>
      <w:r>
        <w:t>a) Le recourant conteste la quotité de l'indemnité allouée à son conseil sur la base de sa liste des opérations. Il estime que le travail effectué ne devrait pas dépasser "au maximum 7 heures de travail au total" au lieu des 9h50 consacrées au dossier par l'avocate brevetée et des 2 heures consacrées par l'avocate-stagiaire, telles que retenues et dénonce "une erreur aux calculs des heures. Il précise également n'avoir vu son conseil que "2 fois en un intervalle de 30-40 minutes et 3-4 fois au téléphone à des intervalles de 5-10 min.". Le recourant y ajoute le temps effectué concernant son dossier, les courriers au tribunal et à la partie adverse pour arriver aux 7 heures susmentionnées. Me J.________ fait valoir pour sa part que le conflit conjugal opposant les époux, assorti d'un aspect pénal, était complexe, que son mandant était venu la consulter le 30 juillet 2014 en vue d'une audience de mesures protectrices de l'union conjugale fixée le 12 août suivant, que l'ensemble des opérations avait donc été effectué de manière efficace et rapide et qu'un certain nombre d'opérations accessoires, tels que la remise d'une clé à l'avocat adverse et les brefs entretiens téléphoniques, n'ont pas été facturés. b) Aux termes de l'art. 122 al. 1 let. a CPC, le conseil juridique commis d'office est rémunéré équitablement par le canton. Cette notion aux contours imprécis doit permettre aux cantons de fixer, sur la base d’un large pouvoir d’appréciation (TF 5P_291/2006 du 19 septembre 2006), le montant de l’indemnité allouée au conseil d’office dans les limites de leur tarif des frais (art. 96 CPC) (Rüegg, Basler Kommentar, op. cit., n. 5 à 7 ad art. 122 CPC, pp. 683 s.). Pour fixer la quotité de l’indemnité du conseil d’office, l’autorité cantonale doit s’inspirer des critères applicables à la modération des honoraires d’avocat (Donzallaz, Loi sur le Tribunal fédéral, Commentaire, 2008, n. 1775 ad art. 64 LTF; ATF 122 l 1 c. 3a). Dans le canton de Vaud, l’art. 2 al. 1 RAJ (règlement sur l'assistance judiciaire en matière civile du 7 décembre 2010,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Cette disposition codifie la jurisprudence antérieure rendue sous l’empire de l’ancienne loi sur l’assistance judiciaire.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 3a précité; ATF 117 la 22 c. 4c et les réf. cit.).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d’autre part, il peut également refuser d’indemniser le conseil pour des opérations qu’il estime inutiles ou superflues. c) Le premier juge a admis le nombre d'heures indiqué par le conseil d'office dans sa liste d'opérations, soit 11h50 (9h50 au tarif de 180 fr./h et 2h au tarif de 110 fr./h) ainsi que les montants invoqués à titre de vacation et débours, soit respectivement 80 fr. et 67 fr. 50, le tout plus TVA et lui a ainsi alloué une indemnité totale d'un montant de 2'307 fr. 90. d) En l'espèce, la Cour de céans constate que l'intimée n'a pas comptabilisé plus d'entretiens avec son mandataire que le nombre d'heures reconnues par celui-ci, ni plus d'entretiens téléphoniques. Ainsi, le temps indiqué n'apparaît pas disproportionné. Au surplus, le temps utile à la rédaction de procédures, clairement indiqué dans la liste des opérations, ne prête pas le flanc à la critique. Enfin, les 1h30 d'audience ont été dûment facturées au tarif horaire de l'avocate-stagiaire et le temps indiqué pour les lettres ou la lettre-fax est également adéquat. En revanche il n'y a pas lieu de comptabiliser le temps consacré aux cartes de remerciement, à raison de 5 minutes chacune, soit au total 40 minutes, étant donné que les avis de transmission ou "mémos" ne peuvent pas être pris en compte à titre d'activité déployée par l'avocat, s'agissant d'un pur travail de secrétariat (CREC 3 septembre 2014/312; Juge délégué CACI 18 août 2014/436 c. 3; CACI 29 juillet 2014/235 c. 6; Juge unique CREP 2 juin 2014/379 c. 3b; Juge unique CREP 6 mai 2014/310 c. 2b). Il se justifie donc d'admettre le recours dans cette mesure, soit très partiellement, et de réduire de 40 minutes le temps consacré par Me J.________ à son mandat. Pour le surplus, les montants invoqués à titre de vacation et débours sont admis, ces derniers correspondant à quelques francs près au montant pouvant être forfaitairement alloué. Ainsi, aux tarifs horaires respectifs de 180 fr. et 110 fr., un montant de 1'650 fr. ([9h00 x 180 fr.] + [180/60 x 10] + [2h x 110 fr.]) doit être arrêté. A cela s'ajoutent 80 fr. de frais de vacation, 67 fr. 50 de débours et 161 fr. 40 de TVA, soit un total de 2'178 fr. 90.</w:t>
      </w:r>
    </w:p>
    <w:p>
      <w:r>
        <w:rPr>
          <w:b/>
        </w:rPr>
        <w:t>E. 4</w:t>
      </w:r>
    </w:p>
    <w:p>
      <w:r>
        <w:t>En définitive, le recours doit être très partiellement admis et le prononcé attaqué réformé à son chiffre I, en ce sens que l'indemnité de conseil d'office d'Y.________ allouée à Me J.________ est fixée à 2'178 fr. 90, débours et TVA compris pour la période du 30 juillet 2014 au 21 août 2014. Les frais judiciaires de deuxième instance, arrêtés à 100 fr. (art. 69 al. 3 TFJC [tarif des frais judiciaires civils du 28 septembre 2010; RSV 270.11.5]), sont mis par 80 fr. à la charge du recourant, dès lors qu'il n'obtient gain de cause que dans une très faible mesure, et laissés par 20 fr. à la charge de l'Etat (art. 106 al. 2 et 107 al. 2 CPC). Par ces motifs, la Chambre des recours civile du Tribunal cantonal, statuant à huis clos, prononce : I. Le recours est partiellement admis. II. Le prononcé est réformé au chiffre I de son dispositif comme il suit : I. fixe l'indemnité de conseil d'office d'Y.________ allouée à Me J.________ à 2'178 fr. 90  (deux mille cent septante-huit francs et nonante centimes) débours et TVA compris, pour la période du 30 juillet 2014 au 21 août 2014; Le prononcé est confirmé pour le surplus. III. Les frais judiciaires de deuxième instance, arrêtés à 100 fr. (cent francs), sont mis à la charge du recourant Y.________ par 80 fr. (huitante francs) et laissés par 20 fr. (vingt francs) à la charge de l’Etat. IV. L’arrêt motivé est exécutoire. Le président :               La greffière : Du</w:t>
      </w:r>
    </w:p>
    <w:p>
      <w:r>
        <w:rPr>
          <w:b/>
        </w:rPr>
        <w:t>E. 7</w:t>
      </w:r>
    </w:p>
    <w:p>
      <w:r>
        <w:t>janvier 2015 Le dispositif de l'arrêt qui précède est communiqué par écrit aux intéressés. La greffière : Du L'arrêt qui précède, dont la rédaction a été approuvée à huis clos, est notifié en expédition complète, par l'envoi de photocopies, à : ‑ M. Y.________, ‑ Me J.________. La Chambre des recours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