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152 vom 10. Februar 2015</w:t>
      </w:r>
    </w:p>
    <w:p>
      <w:r>
        <w:t>VD Tribunal cantonal, 2015-02-10, FR</w:t>
      </w:r>
    </w:p>
    <w:p>
      <w:r>
        <w:rPr>
          <w:b/>
        </w:rPr>
        <w:t xml:space="preserve">Quelle: </w:t>
      </w:r>
      <w:r>
        <w:t>https://mcp.opencaselaw.ch/entscheid/vd_findinfo_HC___2015___152</w:t>
      </w:r>
    </w:p>
    <w:p>
      <w:r>
        <w:t>FR: VD_FINDINFO HC / 2015 / 152 du 10 février 2015</w:t>
      </w:r>
    </w:p>
    <w:p>
      <w:r>
        <w:t>IT: VD_FINDINFO HC / 2015 / 152 del 10 febbraio 2015</w:t>
      </w:r>
    </w:p>
    <w:p>
      <w:pPr>
        <w:pStyle w:val="Heading2"/>
      </w:pPr>
      <w:r>
        <w:t>Regeste</w:t>
      </w:r>
    </w:p>
    <w:p>
      <w:r>
        <w:t>DÉCISION D'IRRECEVABILITÉ, ACTE DE RECOURS, CONCLUSIONS | 321 CPC (CH)</w:t>
      </w:r>
    </w:p>
    <w:p>
      <w:pPr>
        <w:pStyle w:val="Heading2"/>
      </w:pPr>
      <w:r>
        <w:t>Volltext</w:t>
      </w:r>
    </w:p>
    <w:p>
      <w:r>
        <w:t>Vaud Tribunal cantonal Chambre des recours civile 10.02.2015 HC / 2015 / 152</w:t>
      </w:r>
    </w:p>
    <w:p>
      <w:r>
        <w:t>DÉCISION D'IRRECEVABILITÉ, ACTE DE RECOURS, CONCLUSIONS | 321 CPC (CH)</w:t>
      </w:r>
    </w:p>
    <w:p>
      <w:r>
        <w:t>TRIBUNAL CANTONAL HX15.000922-150042223 80 CHAMBRE DES RECOURS CIVILE _________________________________________ Arrêt du 10 février 2015 ____________________ Présidence de               M. winzap , président Juges :              Mmes Charif Feller et Courbat Greffier : M.              Tinguely ***** Art. 321 CPC Statuant à huis clos sur le recours interjeté par A.________ , à Lausanne, requérant, dans la cause divisant le recourant d’avec Y.________SA , à Winterthur (ZH), intimée, la Chambre des recours civile du Tribunal cantonal voit : En fait et en droit : 1. Par avis d’exécution forcée rendu le 8 octobre 2014 sur requête de l’intimée Y.________SA, la Juge de paix du district de Lausanne (ci-après : la Juge de paix) a fixé au 25 novembre 2014 à 9 heures l’exécution forcée de l’ordonnance d’expulsion du 1 er juillet 2014 prononçant l’expulsion du requérant A.________ de l’appartement de 2.5 pièces qu’il occupe au 1 er étage du bâtiment sis à [...], [...]. 2. Par requête du 26 novembre 2014 adressée au Président de la Commission de conciliation en matière de baux à loyer du district de Lausanne (ci-après : la Commission de conciliation), A.________ a remis en cause l’avis précité en ces termes : «[…] Je vous prie […] de radier la mesure d’expulsion de mon appartement à [...], ordonnée par Mme la Juge de paix [...]. Je vous prie d’ordonner la restitution de l’appartement en question. […] » Par décision du 2 décembre 2014, la Commission de conciliation, statuant sur la requête du 26 novembre 2014 d’A.________, a déclaré qu’elle était incompétente à raison de la matière (I) et a rendu la décision sans frais ni dépens (II). 3. Dans son écriture du 18 décembre 2014, adressée au Président de la Commission de conciliation, A.________ a notamment fait référence à l’expulsion de son appartement prononcée par la Juge de paix. Il a en outre annexé à son écriture des copies de correspondances échangées avec plusieurs établissements bancaires ainsi que divers documents relatifs à sa situation financière. Le 22 décembre 2014, la Commission de conciliation a remis l’acte précité à la Cour de céans comme objet de sa compétence. 4. a) 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le recourant, en se limitant à remettre au Président de la Commission de conciliation diverses copies de correspondances et de documents relatifs à sa situation financière, ne prend aucune conclusion sur le fond. Pour ce motif, l’acte, en tant qu’il puisse être considéré comme un recours, doit être déclaré irrecevable. On relève au demeurant qu’à la lecture dudit acte, on ne peut déterminer avec certitude la décision que le recourant entend remettre en cause. 5. 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A.________ - M. Jean-Marc Schlaeppi, aab. (pour Y.________SA)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