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145 vom 7. Januar 2015</w:t>
      </w:r>
    </w:p>
    <w:p>
      <w:r>
        <w:t>VD Tribunal cantonal, 2015-01-07, FR</w:t>
      </w:r>
    </w:p>
    <w:p>
      <w:r>
        <w:rPr>
          <w:b/>
        </w:rPr>
        <w:t xml:space="preserve">Quelle: </w:t>
      </w:r>
      <w:r>
        <w:t>https://mcp.opencaselaw.ch/entscheid/vd_findinfo_HC___2015___145</w:t>
      </w:r>
    </w:p>
    <w:p>
      <w:r>
        <w:t>FR: VD_FINDINFO HC / 2015 / 145 du 7 janvier 2015</w:t>
      </w:r>
    </w:p>
    <w:p>
      <w:r>
        <w:t>IT: VD_FINDINFO HC / 2015 / 145 del 7 gennaio 2015</w:t>
      </w:r>
    </w:p>
    <w:p>
      <w:pPr>
        <w:pStyle w:val="Heading2"/>
      </w:pPr>
      <w:r>
        <w:t>Regeste</w:t>
      </w:r>
    </w:p>
    <w:p>
      <w:r>
        <w:t>PRÊT À USAGE, TRANSFERT{EN GÉNÉRAL}, LIVRAISON, CONTRAT MIXTE | 1 al. 2 CO, 305 CO, 306 al. 2 CO, 319 let. a CPC (CH)</w:t>
      </w:r>
    </w:p>
    <w:p>
      <w:pPr>
        <w:pStyle w:val="Heading2"/>
      </w:pPr>
      <w:r>
        <w:t>Erwägungen</w:t>
      </w:r>
    </w:p>
    <w:p>
      <w:r>
        <w:rPr>
          <w:b/>
        </w:rPr>
        <w:t>E. 4</w:t>
      </w:r>
    </w:p>
    <w:p>
      <w:r>
        <w:t>Au vu de ce qui précède, le recours doit être rejeté et la décision attaquée confirmée.</w:t>
      </w:r>
    </w:p>
    <w:p>
      <w:r>
        <w:rPr>
          <w:b/>
        </w:rPr>
        <w:t>E. 5</w:t>
      </w:r>
    </w:p>
    <w:p>
      <w:r>
        <w:t>Les frais judiciaires de deuxième instance, arrêtés à 400 fr. (art. 69 al. 1 CPC [tarif des frais judiciaires civils du 28 septembre 2010, RSV 270.11.5]), sont mis à la charge du recourant qui succombe (art. 106 al. 1 CPC). L’intimée s’étant déterminée par l’intermédiaire d’un agent d’affaires breveté, le recourant doit lui verser la somme de 800 fr. à titre de dépens de deuxième instance (art. 13 TDC [tarif des dépens en matière civile du 23 novembre 2010, RSV 270.11.6]). Par ces motifs, la Chambre des recours civile du Tribunal cantonal, statuant à huis clos, prononce : I. Le recours est rejeté. II. La décision est confirmée. III. Les frais judiciaires de deuxième instance, arrêtés à 400 fr. (quatre cents francs), sont mis à la charge du recourant B.________. IV. Le recourant B.________ doit verser à l’intimée Y.________ AG la somme de 800 fr. (huit cents francs), à titre de dépens de deuxième instance. V. L’arrêt est exécutoire. Le président :               La greffière : Du L'arrêt qui précède, dont la rédaction a été approuvée à huis clos, est notifié à : ‑ Me Basile Schwab, av. (pour B.________), ‑ M. Thierry Zumbach, aab (pour Y.________ AG). La Chambre des recours civile considère que la valeur litigieuse est de 8'128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