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140 vom 9. Januar 2015</w:t>
      </w:r>
    </w:p>
    <w:p>
      <w:r>
        <w:t>VD Tribunal cantonal, 2015-01-09, FR</w:t>
      </w:r>
    </w:p>
    <w:p>
      <w:r>
        <w:rPr>
          <w:b/>
        </w:rPr>
        <w:t xml:space="preserve">Quelle: </w:t>
      </w:r>
      <w:r>
        <w:t>https://mcp.opencaselaw.ch/entscheid/vd_findinfo_HC___2015___140</w:t>
      </w:r>
    </w:p>
    <w:p>
      <w:r>
        <w:t>FR: VD_FINDINFO HC / 2015 / 140 du 9 janvier 2015</w:t>
      </w:r>
    </w:p>
    <w:p>
      <w:r>
        <w:t>IT: VD_FINDINFO HC / 2015 / 140 del 9 gennaio 2015</w:t>
      </w:r>
    </w:p>
    <w:p>
      <w:pPr>
        <w:pStyle w:val="Heading2"/>
      </w:pPr>
      <w:r>
        <w:t>Regeste</w:t>
      </w:r>
    </w:p>
    <w:p>
      <w:r>
        <w:t>ADMINISTRATION DES PREUVES, DÉCISION, DOMMAGE IRRÉPARABLE, NOVA | 229 CPC (CH), 319 let. b ch. 2 CPC (CH)</w:t>
      </w:r>
    </w:p>
    <w:p>
      <w:pPr>
        <w:pStyle w:val="Heading2"/>
      </w:pPr>
      <w:r>
        <w:t>Erwägungen</w:t>
      </w:r>
    </w:p>
    <w:p>
      <w:r>
        <w:rPr>
          <w:b/>
        </w:rPr>
        <w:t>E. 1</w:t>
      </w:r>
    </w:p>
    <w:p>
      <w:r>
        <w:t>a) Selon l'art. 319 CPC (Code de procédure civile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L’art. 154 CPC prévoit que les ordonnances de preuve sont rendues avant l’administration des preuves. Elles désignent en particulier les moyens de preuve admis et déterminent pour chaque fait à quelle partie incombe la preuve ou la contre-preuve. Elles peuvent être modifiées ou complétées en tout temps, par quoi il faut entendre tant que le tribunal n’a pas jugé (Schweizer, CPC commenté, Bâle 2011, n. 12 ad art. 154 CPC). Il s’agit de déterminer prima facie quels sont les faits pertinents et dans quelle mesure les preuves proposées sont susceptibles d’avoir une influence sur l’issue du litige, quitte à diviser l’administration des preuves en étapes, qui sont du ressort souverain du tribunal, libre par exemple de faire procéder d’abord à une expertise, ou après, selon son libre pouvoir de décision (Schweizer, op. cit., n. 8 ad art. 154 CPC). Aux termes de l’art. 229 al. 1 CPC, les faits et moyens de preuve nouveaux ne sont admis aux débats principaux que s’ils sont invoqués sans retard et qu’ils remplissent l’une des conditions suivantes : ils sont postérieurs à l’échange d’écritures ou la dernière audience d’instruction ou ont été découverts postérieurement (novas proprement dits ; let. a) ou s’ils existaient avant la clôture de l’échange d’écritures ou la dernière audience d’instruction mais ne pouvaient être invoqués antérieurement bien que la partie qui s’en prévaut ait fait preuve de la diligence requise (novas improprement dits ; let. b). Le refus du juge d’admettre des faits et moyens de preuve nouveaux correspond à la notion d’autre décision au sens de l'art. 319 let. b CPC (CREC 11 juin 2014/204 ; CREC 12 novembre 2013/371 ; Jeandin, CPC commenté, Bâle 2011, n. 15 ad art. 319 CPC). Le recours contre une décision refusant des faits et moyens de preuve nouveaux n’étant pas expressément prévu par le CPC, il n’est recevable que si ladite décision est susceptible de causer un préjudice difficilement réparable (art. 319 al. 1 let. b CPC). Cette notion est plus large que celle de dommage irréparable de l’art. 93 al. 1 let. a LTF (loi du 17 juin 2005 sur le Tribunal fédéral, RS 173.110), puisqu’elle vise également les désavantages de fait (JT 2011 III 86 c. 3). Un préjudice irréparable de nature juridique doit ne pas pouvoir être ultérieurement réparé ou entièrement réparé par une décision finale favorable au recourant (ATF 134 III 188 c. 2.1 et 2.2). Ainsi, une décision refusant l’introduction de nouveaux allégués et de nouveaux moyens de preuve ne crée en principe pas un préjudice difficilement réparable, car la recourante conserve des moyens dans la procédure au fond, au besoin en remettant en cause la décision finale qui lui aurait refusé des preuves pertinentes (CREC 14 novembre 2014/401 ; CREC 4 octobre 2013/286 ; pour l’art. 229 CPC : CREC 8 septembre 2014/319 ; CREC 11 juin 2014/204 ; CREC 12 novembre 2013/371). b) En l’espèce, la recourante invoque en premier lieu une violation de son droit d’être entendue consacré par les art. 29 al.</w:t>
      </w:r>
    </w:p>
    <w:p>
      <w:r>
        <w:rPr>
          <w:b/>
        </w:rPr>
        <w:t>E. 2</w:t>
      </w:r>
    </w:p>
    <w:p>
      <w:r>
        <w:t>En définitive, le recours doit être déclaré irrecevable et l’ordonnance entreprise confirmée. Les frais judiciaires de deuxième instance, arrêtés à 800 fr. (art. 6 al. 1 TFJC [tarif de frais judiciaires civils du 28 septembre 2010 ; RS 270.11.5]), seront mis à la charge de la recourante, qui succombe (art. 106 al. 1 CPC). Compte tenu de la valeur litigieuse, les art. 114 let. c CPC et 76 al. 5 TFJC ne trouvent pas application. Il n’y a pas lieu à l’allocation de dépens, l’intimée n’ayant pas été invitée à se déterminer. Par ces motifs, la Chambre des recours civile du Tribunal cantonal, statuant à huis clos, prononce : I. Le recours est irrecevable. II. L’ordonnance est confirmée. III. Les frais judiciaires de deuxième instance, arrêtés à 800 fr. (huit cents francs), sont mis à la charge de la recourante N.________SA. IV. L’arrêt est exécutoire. Le président :               Le greffier : Du L'arrêt qui précède, dont la rédaction a été approuvée à huis clos, est notifié à : ‑ Me Rémy Wyler (pour N.________SA) ‑ Me Bernard Katz (pour D.________) La Chambre des recours civile considère que la valeur litigieuse est supréieure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