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130 vom 11. Februar 2015</w:t>
      </w:r>
    </w:p>
    <w:p>
      <w:r>
        <w:t>VD Tribunal cantonal, 2015-02-11, FR</w:t>
      </w:r>
    </w:p>
    <w:p>
      <w:r>
        <w:rPr>
          <w:b/>
        </w:rPr>
        <w:t xml:space="preserve">Quelle: </w:t>
      </w:r>
      <w:r>
        <w:t>https://mcp.opencaselaw.ch/entscheid/vd_findinfo_HC___2015___130</w:t>
      </w:r>
    </w:p>
    <w:p>
      <w:r>
        <w:t>FR: VD_FINDINFO HC / 2015 / 130 du 11 février 2015</w:t>
      </w:r>
    </w:p>
    <w:p>
      <w:r>
        <w:t>IT: VD_FINDINFO HC / 2015 / 130 del 11 febbraio 2015</w:t>
      </w:r>
    </w:p>
    <w:p>
      <w:pPr>
        <w:pStyle w:val="Heading2"/>
      </w:pPr>
      <w:r>
        <w:t>Regeste</w:t>
      </w:r>
    </w:p>
    <w:p>
      <w:r>
        <w:t>MESURE DE CONTRAINTE{DROIT DES ÉTRANGERS}, RENVOI{DROIT DES ÉTRANGERS} | 76 al. 1 let. b ch. 3 LEtr, 76 al. 1 let. b ch. 4 LEtr, 78 LEtr</w:t>
      </w:r>
    </w:p>
    <w:p>
      <w:pPr>
        <w:pStyle w:val="Heading2"/>
      </w:pPr>
      <w:r>
        <w:t>Erwägungen</w:t>
      </w:r>
    </w:p>
    <w:p>
      <w:r>
        <w:rPr>
          <w:b/>
        </w:rPr>
        <w:t>E. 1</w:t>
      </w:r>
    </w:p>
    <w:p>
      <w:r>
        <w:t>Selon l’art. 30 al. 1 LVLEtr (loi du 18 décembre 2007 d’application dans le Canton de Vaud de la législation fédérale sur les étrangers;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RSV 173.01] et art. 18 al. 3 let. c ROTC [règlement organique du Tribunal cantonal du 13 novembre 2007; RSV 173.31.11]). Interjeté dans les dix jours dès la notification de la décision attaquée, le recours est recevable (art. 30 al. 2 LVLEtr).</w:t>
      </w:r>
    </w:p>
    <w:p>
      <w:r>
        <w:rPr>
          <w:b/>
        </w:rPr>
        <w:t>E. 2</w:t>
      </w:r>
    </w:p>
    <w:p>
      <w:r>
        <w:t>Le juge de paix du district de Lausanne est l’autorité compétente en vertu des art. 17 et 20 LVLEtr. Il a été saisi d’une requête motivée et documentée du SPOP du 9 janvier 2015. II a procédé à l’audition du recourant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 faits postérieurs à la décision attaquée.</w:t>
      </w:r>
    </w:p>
    <w:p>
      <w:r>
        <w:rPr>
          <w:b/>
        </w:rPr>
        <w:t>E. 3</w:t>
      </w:r>
    </w:p>
    <w:p>
      <w:r>
        <w:t>Le recourant fait valoir qu’on ne peut retenir qu’il n’a pas collaboré ni qu'il serait rétif à l'exécution de son renvoi, alors que le SPOP n'aurait opéré qu'une démarche concrète, soit un plan de vol, dont on ne comprendrait pas la portée juridique. a) Selon l’art. 78 LEtr, qui traite de la détention pour insoumission,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(al. 1). La détention peut être ordonnée pour une période d’un mois. Moyennant le consentement de l’autorité judiciaire cantonale et dans la mesure où l’étranger n’est pas disposé à modifier son comportement et à quitter le pays, elle peut être prolongée de deux mois en deux mois. L’art. 79 demeure réservé (al. 2). La détention et sa prolongation sont ordonnées par l’autorité du canton qui exécute le renvoi ou l’expulsion. Lorsque l’étranger se trouve déjà en détention en vertu des art. 75 à 77, il peut y être maintenu, pour autant que les conditions visées à l’al. 1 soient remplies (al. 3). Le premier ordre de détention doit être examiné dans un délai de 96 heures par une autorité judiciaire au terme d’une procédure orale. A la demande de l’étranger détenu, la prolongation de la détention doit être examinée dans un délai de huit jours ouvrables par une autorité judiciaire au terme d’une procédure orale. Le pouvoir d’examen est régi par l’art. 80, al. 2 et 4 (al. 4). Les conditions de détention sont régies par l’art. 81 (al. 5). La détention est levée dans les cas prévus à l’al. 6. Selon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aI. 4 LAsi (Ioi sur l’asile du 18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 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TF 2C_206/2009 du 29 avril 2009 c. 4.1). b) En l’espèce, le recourant n’a pas donné suite à l’ordre de quitter la Suisse après l’entrée en force de la décision de l’ODM du 26 juin 2006, bien qu’il ait été averti qu’il ferait l’objet de mesures de contrainte s’il ne le faisait pas. Il a fallu de très nombreux entretiens auprès de multiples délégations de divers pays africains pour qu’il soit enfin reconnu par la délégation malienne en automne 2014, le recourant refusant manifestement de collaborer. Une fois que le pays d’origine du recourant a pu être déterminé, le SPOP a organisé deux vols. Le recourant a refusé de signer les déclarations de retour volontaire. En décembre 2014, il a refusé de signer le plan de vol et ne s’est pas rendu à l’aéroport le jour prévu, soit le 5 janvier 2015. Il a également refusé d’embarquer lors d’un second vol prévu le 19 janvier 2015. Par ailleurs, il n’a pas d’attaches familiales en Suisse, ce qui rend plus facile la soustraction au renvoi par le passage à la clandestinité. L’ensemble de ces éléments constitue un faisceau d’indices faisant apparaître que le recourant entend se soustraire à son renvoi, de sorte que sa détention administrative est fondée au sens de l’art. 76 al. 1 let. b ch. 3 et 4 LEtr. Ainsi, le grief soulevé par le recourant est infondé.</w:t>
      </w:r>
    </w:p>
    <w:p>
      <w:r>
        <w:rPr>
          <w:b/>
        </w:rPr>
        <w:t>E. 4</w:t>
      </w:r>
    </w:p>
    <w:p>
      <w:r>
        <w:t>Ensuite, contrairement à ce que semble invoquer le recourant, il apparaît que la mesure de contrainte respecte le principe de la proportionnalité, dès lors que le SPOP a entrepris des démarches pour fixer un nouveau vol spécial à destination du pays d’origine du recourant.</w:t>
      </w:r>
    </w:p>
    <w:p>
      <w:r>
        <w:rPr>
          <w:b/>
        </w:rPr>
        <w:t>E. 5</w:t>
      </w:r>
    </w:p>
    <w:p>
      <w:r>
        <w:t>Au vu de ce qui précède, le recours doit être rejeté et l’ordonnance entreprise confirmée. L’arrêt peut être rendu sans frais (art. 50 LPA-VD [loi sur la procédure administrative du 28 octobre 2008;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l’avocate Véronique Fontana n’a pas produit de liste d’opérations malgré le délai qui lui a été imparti à cette fin. Compte tenu de la difficulté de la cause et des opérations effectuées (recours de deux pages sans tenir compte de la page de garde et des conclusions), on peut retenir 3 heures de travail, ainsi que des débours à hauteur de 50 francs. Compte tenu d’un tarif horaire de 180 fr., l’indemnité doit être fixée à 637 fr. 20, soit 583 fr. 20 d’honoraires, TVA comprise, et 54 fr. de débours, TVA comprise. Par ces motifs, la Chambre des recours civile du Tribunal cantonal, statuant à huis clos, prononce : I. Le recours est rejeté. II. L'ordonnance est confirmée. III. L'arrêt est rendu sans frais judiciaires. IV. L'indemnité de Me Véronique Fontana, conseil d'office du recourant, est arrêtée à 637 fr. 20, TVA comprise. V. L'arrêt motivé est exécutoire. Le président :               La greffière : Du 12 février 2015 Le dispositif de l'arrêt qui précède est communiqué par écrit aux intéressés. La greffière : Du L'arrêt qui précède, dont la rédaction a été approuvée à huis clos, est notifié en expédition complète, par l'envoi de photocopies, à : ‑ Me Véronique Fontana (pour H.________),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