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128 vom 2. Februar 2015</w:t>
      </w:r>
    </w:p>
    <w:p>
      <w:r>
        <w:t>VD Tribunal cantonal, 2015-02-02, FR</w:t>
      </w:r>
    </w:p>
    <w:p>
      <w:r>
        <w:rPr>
          <w:b/>
        </w:rPr>
        <w:t xml:space="preserve">Quelle: </w:t>
      </w:r>
      <w:r>
        <w:t>https://mcp.opencaselaw.ch/entscheid/vd_findinfo_HC___2015___128</w:t>
      </w:r>
    </w:p>
    <w:p>
      <w:r>
        <w:t>FR: VD_FINDINFO HC / 2015 / 128 du 2 février 2015</w:t>
      </w:r>
    </w:p>
    <w:p>
      <w:r>
        <w:t>IT: VD_FINDINFO HC / 2015 / 128 del 2 febbraio 2015</w:t>
      </w:r>
    </w:p>
    <w:p>
      <w:pPr>
        <w:pStyle w:val="Heading2"/>
      </w:pPr>
      <w:r>
        <w:t>Regeste</w:t>
      </w:r>
    </w:p>
    <w:p>
      <w:r>
        <w:t>MESURE DE CONTRAINTE{DROIT DES ÉTRANGERS}, DÉTENTION AUX FINS D'EXPULSION, PROCÈS DEVENU SANS OBJET | 25 al. 1 LVLEtr, 30 LVLEtr, 31 LVLEtr</w:t>
      </w:r>
    </w:p>
    <w:p>
      <w:pPr>
        <w:pStyle w:val="Heading2"/>
      </w:pPr>
      <w:r>
        <w:t>Erwägungen</w:t>
      </w:r>
    </w:p>
    <w:p>
      <w:r>
        <w:rPr>
          <w:b/>
        </w:rPr>
        <w:t>E. 2</w:t>
      </w:r>
    </w:p>
    <w:p>
      <w:r>
        <w:t>février 2015 __________________ Présidence de               M. Winzap , président Juges :              Mme Charif Feller et M. Pellet Greffière :              Mme Pache ***** Art. 25 al. 1, 30 et 31 LVLEtr Statuant à huis clos sur le recours interjeté par E.________ , alors détenu dans les locaux de l'Etablissement [...], à [...], contre l'ordonnance rendue le 31 décembre 2014 par le Juge de paix du district de Lausanne dans la cause le concernant, la Chambre des recours civile du Tribunal cantonal voit : En fait et en droit : 1. Par ordonnance du 31 décembre 2014, le Juge de paix du district de Lausanne a prolongé la détention de E.________, né le [...] 1967, originaire de [...], alors détenu dans les locaux de l’Etablissement [...], [...], [...], à [...], jusqu'au</w:t>
      </w:r>
    </w:p>
    <w:p>
      <w:r>
        <w:rPr>
          <w:b/>
        </w:rPr>
        <w:t>E. 3</w:t>
      </w:r>
    </w:p>
    <w:p>
      <w:r>
        <w:t>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Thierry de Mestral a produit une note détaillée de ses opérations et débours, annonçant 0.8 heure de temps consacré au dossier et</w:t>
      </w:r>
    </w:p>
    <w:p>
      <w:r>
        <w:rPr>
          <w:b/>
        </w:rPr>
        <w:t>E. 7</w:t>
      </w:r>
    </w:p>
    <w:p>
      <w:r>
        <w:t>décembre 2010 ; RSV 211.02.3]), l'indemnité de conseil d'office de Me Thierry de Mestral s'élève à 163 fr. 70, TVA et débours compris. Par ces motifs, la Chambre des recours civile du Tribunal cantonal, statuant à huis clos, prononce : I. Le recours est sans objet. II. La cause est rayée du rôle. III. L'arrêt est rendu sans frais. IV. L'indemnité d'office de Me Thierry de Mestral, conseil du recourant, est arrêtée à 163 fr. 70 (cent soixante-trois francs et septante centimes), TVA et débours compris. V. L'arrêt est exécutoire. Le président :               La greffière : Du L'arrêt qui précède, dont la rédaction a été approuvée à huis clos, est notifié à : ‑ Me Thierry de Mestral (pour E.________),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