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125 vom 5. Januar 2015</w:t>
      </w:r>
    </w:p>
    <w:p>
      <w:r>
        <w:t>VD Tribunal cantonal, 2015-01-05, FR</w:t>
      </w:r>
    </w:p>
    <w:p>
      <w:r>
        <w:rPr>
          <w:b/>
        </w:rPr>
        <w:t xml:space="preserve">Quelle: </w:t>
      </w:r>
      <w:r>
        <w:t>https://mcp.opencaselaw.ch/entscheid/vd_findinfo_HC___2015___125</w:t>
      </w:r>
    </w:p>
    <w:p>
      <w:r>
        <w:t>FR: VD_FINDINFO HC / 2015 / 125 du 5 janvier 2015</w:t>
      </w:r>
    </w:p>
    <w:p>
      <w:r>
        <w:t>IT: VD_FINDINFO HC / 2015 / 125 del 5 gennaio 2015</w:t>
      </w:r>
    </w:p>
    <w:p>
      <w:pPr>
        <w:pStyle w:val="Heading2"/>
      </w:pPr>
      <w:r>
        <w:t>Regeste</w:t>
      </w:r>
    </w:p>
    <w:p>
      <w:r>
        <w:t>DÉCISION D'EXÉCUTION | 322 al. 1 CPC (CH)</w:t>
      </w:r>
    </w:p>
    <w:p>
      <w:pPr>
        <w:pStyle w:val="Heading2"/>
      </w:pPr>
      <w:r>
        <w:t>Erwägungen</w:t>
      </w:r>
    </w:p>
    <w:p>
      <w:r>
        <w:rPr>
          <w:b/>
        </w:rPr>
        <w:t>E. 1</w:t>
      </w:r>
    </w:p>
    <w:p>
      <w:r>
        <w:t>let. a CPC), dans les causes non patrimoniales ou dont la valeur litigieuse atteint, selon les dernières conclusions, la somme de 10’000 fr. au moins. L’art. 319 let. a CPC ouvre la voie subsidiaire du recours contre les décisions finales qui ne peuvent pas faire l’objet d’un appel. Le recours doit être introduit auprès de l’instance de recours dans les 30 jours à compter de la notification de la décision motivée (art. 321 al. 1 CPC). En l’espèce, l’ordonnance d’expulsion rendue le 29 août 2014 a été confirmée tant par l’arrêt du 2 octobre 2014 de la Juge déléguée de la Cour d’appel civil du Tribunal cantonal, que par l’arrêt du 4 décembre 2014 du Tribunal fédéral. La recourante ne peut dès lors valablement revenir sur le fond du litige et remettre en cause le caractère exécutoire de cette ordonnance. Seul le nouveau délai de libération des locaux fixé dans l’ordonnance entreprise, qui n’équivaut pas à une prolongation de délai, peut être contesté dans le présent recours. Compte tenu du délai de libération fixé au 24 novembre 2014 et du loyer mensuel brut de 3'690 fr., la valeur litigieuse est inférieure à 10'000 francs. C’est donc la voie du recours qui est ouverte. Il ressort des pièces du dossier que l’ordonnance entreprise a été notifiée à la recourante le 23 octobre 2014. L’acte de recours, posté le 24 novembre 2014 par une partie qui y a intérêt (art. 59 al. 2 let. a CPC), est dès lors intervenu en temps utile. b)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Bâle 2011, n. 4 ad art. 321 CPC, et n. 3 ad art. 311 CPC par analogie).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comme déjà relevé ci-dessus, la recourante ne peut – à ce stade de la procédure – que remettre en cause la date fixée par le premier juge pour libérer les locaux. Or, on peut douter de la recevabilité de l’acte qu’elle a déposé le 24 novembre 2014, dès lors que les motifs invoqués sont vagues et que la recourante ne soulève aucun grief à ce sujet. Cette question peut néanmoins demeurer ouverte, dans la mesure où le recours, manifestement infondé, doit être rejeté pour les motifs évoqués ci-après.</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On comprend de l’argumentation confuse de la recourante qu’elle semble reprocher au premier juge d’avoir rendu l’ordonnance litigieuse sans attendre l’issue de la procédure de recours, relative à l’ordonnance d’expulsion du 29 août 2014, pendante auprès du Tribunal fédéral. Le Tribunal fédéral a cependant rendu un arrêt de non entrée en matière le 4 décembre 2014, mettant ainsi un terme à la procédure pendante devant lui. Ce moyen est dès lors sans objet.</w:t>
      </w:r>
    </w:p>
    <w:p>
      <w:r>
        <w:rPr>
          <w:b/>
        </w:rPr>
        <w:t>E. 4</w:t>
      </w:r>
    </w:p>
    <w:p>
      <w:r>
        <w:t>La recourante semble également requérir que son acte soit assorti de l’effet suspensif jusqu’à droit connu dans la procédure devant le Tribunal fédéral. Au vu de l’arrêt du Tribunal fédéral rendu le 4 décembre 2014, cette requête n’a également plus d’objet.</w:t>
      </w:r>
    </w:p>
    <w:p>
      <w:r>
        <w:rPr>
          <w:b/>
        </w:rPr>
        <w:t>E. 5</w:t>
      </w:r>
    </w:p>
    <w:p>
      <w:r>
        <w:t>En définitive, le recours, mal fondé, doit être rejeté en application de l’art. 322 al. 1 CPC et l’ordonnance confirmée. Le recours étant manifestement dépourvu de toute chance de succès, il convient de rejeter la requête d’assistance judiciaire, présentée de manière peu claire par la recourante (art. 117 let. b CPC). Les frais judiciaires de deuxième instance, arrêtés à 150 fr. (art. 69 al. 1 et 70 al. 4 TFJC [tarif des frais judiciaires en matière civile du 28 septembre 2010; RSV 270.11.5]), sont mis à la charge de la recourante qui succombe (art. 106 al. 1 CPC). Il n’y a pas lieu à l’allocation de dépens de deuxième instance, dès lors que les intimés n’ont pas été invités à se déterminer. Par ces motifs, la Chambre des recours civile du Tribunal cantonal, statuant à huis clos, en application de l'art. 322 al. 1 CPC, prononce : I. Le recours est rejeté dans la mesure de sa recevabilité. II. L’ordonnance est confirmée. III. La requête d’assistance judiciaire de Q.________ est rejetée. IV. Les frais judiciaires de deuxième instance, arrêtés à 150 fr. (cent cinquante francs), sont mis à la charge de la recourante Q.________. V. L’arrêt est exécutoire. Le président :               La greffière : Du L'arrêt qui précède, dont la rédaction a été approuvée à huis clos, est notifié en expédition complète, par l'envoi de photocopies, à : ‑ M. P.________ (pour Q.________), - Pascal Stouder, aab (pour A.J.________ et B.J.________).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