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12 vom 6. Januar 2015</w:t>
      </w:r>
    </w:p>
    <w:p>
      <w:r>
        <w:t>VD Tribunal cantonal, 2015-01-06, FR</w:t>
      </w:r>
    </w:p>
    <w:p>
      <w:r>
        <w:rPr>
          <w:b/>
        </w:rPr>
        <w:t xml:space="preserve">Quelle: </w:t>
      </w:r>
      <w:r>
        <w:t>https://mcp.opencaselaw.ch/entscheid/vd_findinfo_HC___2015___12</w:t>
      </w:r>
    </w:p>
    <w:p>
      <w:r>
        <w:t>FR: VD_FINDINFO HC / 2015 / 12 du 6 janvier 2015</w:t>
      </w:r>
    </w:p>
    <w:p>
      <w:r>
        <w:t>IT: VD_FINDINFO HC / 2015 / 12 del 6 gennaio 2015</w:t>
      </w:r>
    </w:p>
    <w:p>
      <w:pPr>
        <w:pStyle w:val="Heading2"/>
      </w:pPr>
      <w:r>
        <w:t>Regeste</w:t>
      </w:r>
    </w:p>
    <w:p>
      <w:r>
        <w:t>BAIL À LOYER, RÉSILIATION | 257d CO</w:t>
      </w:r>
    </w:p>
    <w:p>
      <w:pPr>
        <w:pStyle w:val="Heading2"/>
      </w:pPr>
      <w:r>
        <w:t>Erwägungen</w:t>
      </w:r>
    </w:p>
    <w:p>
      <w:r>
        <w:rPr>
          <w:b/>
        </w:rPr>
        <w:t>E. 1</w:t>
      </w:r>
    </w:p>
    <w:p>
      <w:r>
        <w:t>En vertu de l’art. 308 CPC (Code de procédure civile du 19 décembre 2008 ; RS 272), l’appel est recevable contre les décisions finales et les décisions incidentes de première instance, dans les affaires patrimoniales, si la valeur litigieuse au dernier état des conclusions est de 10'000 fr. au moins. En l’espèce, interjetant un appel, les locataires allèguent qu’ils ont trouvé un nouveau logement pour le 1 er avril 2015. L’expulsion n’est par conséquent contestée que jusqu’à cette date. Au vu du loyer mensuel de 1'290 fr., la valeur litigieuse est inférieure à 10'000 francs. Seule la voie du recours est ouverte. Il est cependant admis que l’acte qui est adressé au bon tribunal mais à la mauvaise cour ou au mauvais juge est affecté d’un vice de forme mineur (ATF 118 la 241, JT 1995 I 538) et doit être traité par le tribunal compétent (Bohnet, Code de procédure civile commenté, nn. 28-29 ad art. 63 CPC). L’appel doit dès lors être converti en recours. Le délai de recours est de dix jours contre toutes les décisions rendues en procédure sommaire, telle la procédure dans les cas clairs (art. 248 let. b et 321 al. 2 CPC). En cas d’envoi recommandé non retiré, l’acte est réputé notifié à l’échéance d’un délai de sept jours à compter de l’échec de la remise (art. 138 al. 3 let. a CPC). Le délai de recours court dès le lendemain de la communication de la décision (art. 142 al. 1 CPC). En l’espèce, un avis de retrait de l’ordonnance entreprise a été remis aux locataires le 9 décembre 2014, de sorte que le délai de garde est venu à échéance le 16 décembre suivant. Interjeté le 24 décembre 2014, à temps, par des parties qui y ont un intérêt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2009, n. 19 ad art. 97 LTF).</w:t>
      </w:r>
    </w:p>
    <w:p>
      <w:r>
        <w:rPr>
          <w:b/>
        </w:rPr>
        <w:t>E. 3</w:t>
      </w:r>
    </w:p>
    <w:p>
      <w:r>
        <w:t>Les recourants font valoir que les loyers ont été acquittés sans retard depuis le mois d’octobre 2014, qu’ils n’ont pas retrouvé de logement avant avril 2015 et qu’ils ont deux enfants en bas âge. a)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L’art. 257d al. 2 CO précise que, faute de paiement dans ce délai, le bailleur peut résilier le contrat avec effet immédiat; les baux d’habitation ou de locaux commerciaux peuvent être résiliés moyennant un délai de congé minimum de trente jours pour la fin d’un mois. La jurisprudence a précisé que, lorsque le locataire n’avait pas réglé l’arriéré réclamé dans le délai comminatoire prévu par l’art. 257d CO, il était en demeure et devait subir les conséquences juridiques de l’alinéa 2 de cette disposition, à savoir la résiliation du bail moyennant un délai de congé de trente jours (ATF 127 III 548 c. 4), cela même si l’arriéré a finalement été payé (TF, arrêt du 27 février 1997, in CdB 1997, pp. 65 ss ; CACI 7 juin 2011/105 c. 3). A cet égard, des motifs humanitaires n’entrent pas en ligne de compte dans l’examen des conditions de l’art. 257d CO, dès lors qu’ils ne sont pas pris en considération par les règles de droit fédéral sur le bail à loyer (TF, arrêt du 27 février 1997 précité, c. 2b, in CdB 1997 p. 68 ; TF 4C.74/2006 du 12 mai 2006 c. 3.2.1 ; TF 4A_387/2011 du 19 août 2011 c. 3.2 ; Lachat, op. cit., p. 820 note infrapaginale 117).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2008, n. 2 ad art. 17 LPEBL [loi du 18 mai 1955 sur la procédure d’expulsion en matière de baux à loyer et à ferme, abrogée au 1er janvier 2011], p. 196 et les références citées). Cette jurisprudence garde sa pertinence sous l’empire du CPC (CACI 27 mars 2014/160 et les références citées). b) En l’espèce, les motifs invoqués par les recourants sont sans portée dans le cadre de l’analyse de la validité de la résiliation du bail. Tout au plus pourront-ils avoir une incidence au stade de l’exécution forcée sous l’angle du principe de la proportionnalité.</w:t>
      </w:r>
    </w:p>
    <w:p>
      <w:r>
        <w:rPr>
          <w:b/>
        </w:rPr>
        <w:t>E. 4</w:t>
      </w:r>
    </w:p>
    <w:p>
      <w:r>
        <w:t>Au vu de ce qui précède, le recours doit être rejeté et l’ordonnance confirmée. Les frais de deuxième instance, arrêtés à 200 fr. (art. 69 al. 1 TFJC [tarif des frais judiciaires civils du 28 septembre 2010 ; RSV 270.11.5]), sont mis à la charge des recourants, qui succombent (art. 106 al. 1 CPC). Il n’y a pas lieu d’allouer de dépens à l’intimé, qui n’a pas été invité à se déterminer. Par ces motifs, la Chambre des recours civile du Tribunal cantonal, statuant à huis clos, prononce : I. Le recours est rejeté. II. L'ordonnance est confirmée. III. Les frais judiciaires de deuxième instance, arrêtés à 200 fr. (deux cents francs), sont mis à la charge des recourants A.B.________ et B.B.________, solidairement entre eux. IV. L’arrêt motivé est exécutoire. Le président :               Le greffier : Du</w:t>
      </w:r>
    </w:p>
    <w:p>
      <w:r>
        <w:rPr>
          <w:b/>
        </w:rPr>
        <w:t>E. 7</w:t>
      </w:r>
    </w:p>
    <w:p>
      <w:r>
        <w:t>janvier 2015 Le dispositif de l'arrêt qui précède est communiqué par écrit aux intéressés. Le greffier : Du L'arrêt qui précède, dont la rédaction a été approuvée à huis clos, est notifié à : ‑ M. et Mme A.B.________ et B.B.________, ‑ M. Mikaël Ferreiro, aab (pour O.________).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