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11 vom 4. November 2014</w:t>
      </w:r>
    </w:p>
    <w:p>
      <w:r>
        <w:t>VD Tribunal cantonal, 2014-11-04, FR</w:t>
      </w:r>
    </w:p>
    <w:p>
      <w:r>
        <w:rPr>
          <w:b/>
        </w:rPr>
        <w:t xml:space="preserve">Quelle: </w:t>
      </w:r>
      <w:r>
        <w:t>https://mcp.opencaselaw.ch/entscheid/vd_findinfo_HC___2015___11</w:t>
      </w:r>
    </w:p>
    <w:p>
      <w:r>
        <w:t>FR: VD_FINDINFO HC / 2015 / 11 du 4 novembre 2014</w:t>
      </w:r>
    </w:p>
    <w:p>
      <w:r>
        <w:t>IT: VD_FINDINFO HC / 2015 / 11 del 4 novembre 2014</w:t>
      </w:r>
    </w:p>
    <w:p>
      <w:pPr>
        <w:pStyle w:val="Heading2"/>
      </w:pPr>
      <w:r>
        <w:t>Regeste</w:t>
      </w:r>
    </w:p>
    <w:p>
      <w:r>
        <w:t>FAUTE PROFESSIONNELLE, MÉDECINE, DEVOIR PROFESSIONNEL, CAUSALITÉ ADÉQUATE, CAUSALITÉ HYPOTHÉTIQUE, CAUSALITÉ NATURELLE, LIEN DE CAUSALITÉ, MANDAT | 394 CO, 97 al. 1 CO</w:t>
      </w:r>
    </w:p>
    <w:p>
      <w:pPr>
        <w:pStyle w:val="Heading2"/>
      </w:pPr>
      <w:r>
        <w:t>Erwägungen</w:t>
      </w:r>
    </w:p>
    <w:p>
      <w:r>
        <w:rPr>
          <w:b/>
        </w:rPr>
        <w:t>E. 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francs (art. 308 al. 2 CPC). L'appel, écrit et motivé, est introduit dans les trente jours à compter de la notification de la décision motivée (art. 311 CPC). La Cour d'appel civile connaît de tous les appels formés en application de l'art. 308 CPC (art. 84 al. 1 LOJV [loi d'organisation judiciaire du 12 décembre 1979 ; RSV 173.01]). En l'espèce, formé en temps utile par une partie qui y a intérêt (art. 59 al. 2 let. a CPC) et portant sur des conclusions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2010 III 134 s).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 2a). b) En l’espèce, l’appel porte tant sur l’état de fait du jugement de première instance que sur l’appréciation juridique des premiers magistrats. L'état de fait a été complété au regard des pièces au dossier dans le cadre du large pouvoir d'examen de la Cour de céans, de sorte que les griefs des appelants relevant d'une constatation manifestement inexacte des faits deviennent sans objet.</w:t>
      </w:r>
    </w:p>
    <w:p>
      <w:r>
        <w:rPr>
          <w:b/>
        </w:rPr>
        <w:t>E. 3</w:t>
      </w:r>
    </w:p>
    <w:p>
      <w:r>
        <w:t>Les prétentions litigieuses sont principalement des prétentions en tort moral, fondées sur une prise en charge prétendument défaillante de la défunte à l’hôpital de [...] entre le 10 et le 12 janvier 2007. Aux dires des appelants, cette prise en charge qu’ils estiment défaillante aurait directement mené au décès de feu C.W.________.</w:t>
      </w:r>
    </w:p>
    <w:p>
      <w:r>
        <w:rPr>
          <w:b/>
        </w:rPr>
        <w:t>E. 4</w:t>
      </w:r>
    </w:p>
    <w:p>
      <w:r>
        <w:t>Il n’est pas contesté que la relation qui a lié la patiente défunte à l’intimée relève de rapports contractuels, plus précisément d’un contrat du domaine médical qui doit être qualifié de contrat de mandat au sens des art. 394 ss CO (Code des obligations du 30 mars 1911 ; RS 220). a) Le prestataire de soins s’engage à mettre en oeuvre ses connaissances, sa technique et ses équipements sans promettre pour autant un résultat. Son unique obligation est d’agir avec diligence en vue d’atteindre le but qui motive son action sans garantir qu’il sera atteint. Dès lors, si le résultat n’est pas atteint, mais que le mandataire a correctement mis ses moyens au service du mandant, il y a parfaite exécution (Engel, Contrat de droit suisse, 2 e éd., pp. 481 ss). L’étendue de ce devoir de diligence se détermine selon des critères objectifs.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prestataire de soins. Tant lors du diagnostic qu’au moment de décider d’un traitement ou d’une mesure d’une autre nature, il doit souvent procéder, selon l’état de la science considéré objectivement, à une appréciation et choisir parmi les différentes possibilités. En optant pour l’une ou l’autre, il fait usage de son pouvoir d’appréciation conformément à ses devoirs (ATF 133 III 121 c. 3.1, rés. in JT 2008 I 103, SJ 2007 I 353; TF 4A_737/2011 du 2 mai 2012 c. 2.3; TF 4A_315 du 25 octobre 2011 c. 3.1; SJ 1999 I pp. 499 ss). Les règles de l’art médical constituent des principes établis par la science médicale, généralement reconnus et admis, communément suivis et appliqués par les praticiens (ATF 133 III 121 c. 3.1, rés. in JT 2008 I 103; ATF 108 II 59 c. 1, rés. in JT 1982 I 285; ATF 64 II 200 c. 4a; TF 4A_737/2011 du 2 mai 2012 c. 2.3; Müller, Responsabilité civile du médecin in Quelques actions en responsabilité, CEMAJ Neuchâtel, n. 17). Il s’agit donc d’appliquer les usages professionnels, les devoirs qui s’imposent à tous les membres d’une même corporation, les règles générales dont l’ignorance constituerait une faute grave et les soins usuels. Il n’existe cependant aucune définition des règles de l’art. Le Tribunal fédéral, d’ailleurs, a reconnu que dans une profession si complexe où les opinions sont multiples et parfois divergentes, et dans une science si évolutive, il est difficile de fixer des procédés constants ou de codifier les règles de l’art trop mouvantes. Aussi, les tribunaux, s’appuyant sur l’avis des experts, doivent-ils donner de cas en cas une portée juridique aux règles de l’art (Ney, La responsabilité des médecins et de leurs auxiliaires notamment à raison de l’acte opératoire, thèse Lausanne 1979, pp. 160-161). Savoir si le médecin a violé son devoir de diligence est une question de droit; dire s’il existe une règle professionnelle communément admise, quel était l’état du patient et comment l’acte médical s’est déroulé relève du fait (ATF 133 II 121 c. 3.1, rés. in JT 2008 1103). En règle générale, le juriste est incapable de savoir si le médecin a fait ce qu’il fallait faire dans un cas d’espèce. C’est à l’expert médical de trancher cette question scientifique (Müller, op. cit., n. 17). b) L’obligation de réparer le dommage causé est conditionnée par l’existence d’un préjudice et d’un rapport de causalité. Le rapport de causalité présente deux aspects: la causalité naturelle (rapport de cause à effet) et la causalité adéquate (qui implique de la part du juge de faire usage de son pouvoir d’appréciation de cas en cas, selon les règles du droit et de l'équité, conformément à l'art. 4 CC [Code civil suisse du 10 décembre 1907; RS 210]). Un fait est la cause naturelle d'un résultat s'il en constitue l'une des conditions sine qua non , c'est-à-dire lorsque, sans le premier, le second ne se serait pas produit (ATF 128 III 174 c. 2.b, rés. in JT 2003 I 28, SJ 2002 I 410 ; TF 2C_936/2012 du 14 janvier 2013 c. 2.3). Il n'est pas nécessaire que l'événement considéré soit la cause unique ou immédiate du résultat (TF 4A_65/2009 du 17 février 2010 c. 5.1 ; ATF 133 III 462 c. 4.4.2 et les arrêts cités, rés. in JT 2009 I 47; ATF 125 IV 195 c. 2.b, rés. in JT 2000 I 491). Le fait dommageable peut consister en une action ou une omission. Lorsque le dommage a été causé par une omission, la jurisprudence et la doctrine ont posé des règles particulières en matière de causalité naturelle (TF 4A_464/2008 du 22 décembre 2008 c. 3.3.1). S’il est vrai que, dans l’ordre naturel, une omission ne peut pas être la cause d’un effet car une inaction ne peut modifier le cours des événements, d’un point de vue normatif, une omission peut être tenue pour la cause d’un préjudice (Werro, RC, n. 206; Werro, Commentaire romand, Code des obligations I, 2 e éd., n. 41 ad art. 41 CO, p. 375 et les références citées [ci-après “Werro, CR”]). Dans ce cas, on établit un rapport de causalité naturelle entre l’omission et le résultat constaté à l’aide d’une hypothèse, selon laquelle le résultat ne se serait pas produit si l’intéressé avait agi conformément au droit. L’analyse se fait donc en deux temps: il s’agit premièrement de déterminer si l’ordre juridique imposait un devoir d’agir à une personne et secondement d’établir si un acte de cette personne aurait empêché la survenance du dommage; si ces deux conditions sont réunies, on admet l’existence d’un lien de causalité hypothétique entre l’omission et le dommage (TF 4A_416/2013 du 28 janvier 2014 c. 3.1 ; TF 4C.229/2000 du 27 novembre 2000 c. 4 ; ATF 129 III 129 c. 8 ; ATF 115 II 440 c. 5a, rés. in JT 1990 I 362). En cette matière, la jurisprudence n’exige pas une preuve stricte. Il suffit que le juge parvienne à la conviction qu’une vraisemblance prépondérante plaide pour un certain cours des événements (ATF 132 III 311 consid. 3.5; TF 5A_406/2009 du 22 juin 2011 consid. 4.1). Le fardeau de la preuve en incombe à la partie lésée (ATF 121 III 358 c. 5, JT 1996 I 66; ATF 115 II 440 c. 6, JT 1990 I 362). Le Tribunal fédéral considère que l’examen d’un tel lien de causalité hypothétique relève de la constatation des faits, sauf si le juge admet la causalité exclusivement sur l’expérience de la vie (ATF 132 III 715 c. 2.3, JT 2009 I 183; Werro, CR, n. 41 ad art. 41 CO et les références citées). La vraisemblance prépondérante suppose que, d’un point de vue objectif, des motifs importants plaident pour l’exactitude d’une allégation, sans que d’autres possibilités – l’auteur du dommage étant autorisé à démontrer l’existence de circonstances propres à faire naître chez le juge des doutes sérieux (art. 8 CC; ATF 133 II 181 précité) – ne revêtent une importance significative ou n’entrent raisonnablement en considération (TF 4A_760/2011 du 23 mai 2012 consid. 3.2; ATF 133 I 81 précité; 133 II 462 consid. 4.4.2 et les références citées). En d’autres termes, la probabilité est prépondérante si les faits allégués sont soutenus par des critères objectifs et paraissent si vraisemblables que d’autres faits possibles n’entrent raisonnablement pas en ligne de compte (Winiger, Conclusions, in La preuve en droit de la responsabilité civile, Journée de la responsabilité civile 2010, Genève Zurich BâIe 2011, p. 162 et les références citées). Le degré de vraisemblance requis doit atteindre 75% au minimum (cf. Walter, Beweis und Beweislast im Haftpflichtprozess, in Haftpflichtprozess, Zürich 2009, p. 54). Dans un arrêt TF 4A_397/2008 du 23 septembre 2008, le Tribunal fédéral a jugé qu’un degré de vraisemblance de 51% était insuffisant pour admettre l’existence d’une vraisemblance prépondérante et, partant, d’une relation de causalité adéquate. La chaîne des événements en rapport de causalité naturelle avec la survenance d’un préjudice est infinie ; la théorie de la causalité adéquate permet de fixer une limite juridique à l’obligation de réparer un préjudice (Werro, Commentaire romand, Code des obligations I, Bâle 2012, 2 e éd., n. 43 ad art. 41 CO et les références citées). Selon cette théorie, une cause naturelle à l’origine d’un préjudice n’est opérante en droit que si le comportement incriminé était propre, d’après le cours ordinaire des choses et l’expérience générale de la vie, à entraîner un résultat du genre de celui qui s’est produit en sorte que la survenance de ce résultat paraît de façon générale favorisée par le fait en question (ATF 134 III 12 c. 3, rés. in JT 2005 I 488; ATF 129 V 402 c. 2.2 ; ATF 123 III 110 c. 3a, rés. in JT 1997 I 791 et les références citées ; TF 2C_111/2011 du 7 juillet 2011 c. 6).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(TF 5C.18/2006 du 18 octobre 2006 c. 4.1, publié in SJ 2007 I 238; TF 4C.324/2005 du 5 janvier 2006 c. 2.2 ; TF 5C.125/2003 du 31 octobre 2003 c. 4.1, rés. in JT 2005 I 472, SJ 2004 I 407 c. 4.1 et les références citées; ATF 119 Ib 334 c. 5.b, rés. in JT 1995 I 606 ; ATF 112 II 439 c. 1.c, rés. in JT 1987 I 392). Autrement dit, le fait que le résultat incriminé n'ait pas été subjectivement prévisible par les parties ne joue aucun rôle sur le caractère adéquat du lien de causalité (SJ 2004 I 407 c. 4.6, rés. in JT 2005 I 472).</w:t>
      </w:r>
    </w:p>
    <w:p>
      <w:r>
        <w:rPr>
          <w:b/>
        </w:rPr>
        <w:t>E. 5</w:t>
      </w:r>
    </w:p>
    <w:p>
      <w:r>
        <w:t>a) L’appel est principalement axé sur le défaut de mise en oeuvre du dosage de la troponine et de CPK. Pour les appelants, cet examen sanguin aurait dû être effectué lors de l’admission de la patiente à l’hôpital. Si tel avait été le cas, ses chances de survie auraient été notablement améliorées. b) Les premiers juges ont retenu que, nonobstant l’importance des dosages de troponine et de CPK, qui ne pouvait être niée au regard des conclusions des expertises hors procès et du Dr Y.________, son absence ne suffisait pas à elle seule pour retenir une violation des règles de l’art de l’hôpital de [...], compte tenu des autres examens effectués, dont aucun n’avait permis réellement d’anticiper l’imminence de l’infarctus aigu du myocarde survenu le 12 janvier 2007. Ce raisonnement est critiquable. On ne saurait en effet exclure une violation des règles de l’art en lien avec l’absence de l’examen médical pertinent non effectué au motif que d’autres examens ont été effectués. A cet égard les développements des appelants sont pertinents. c) A supposer donc que l’on admette qu’une troponinémie aurait dû être effectuée en l’espèce, notamment au vu des expertises qui tendent toutes à démontrer la nécessité d’un tel examen – à l’exception certes de celle du Dr C.________ qui se montre moins catégorique sur ce point mais dont les propos sont toutefois sujets à caution comme le relèvent à juste titre les appelants –, et qu’il y a donc eu violation des règles de l’art sur cette question, autour de laquelle est centrée la presque totalité de l’argumentation de l’appel, cela ne signifie pas encore que le lien de causalité est établi, sous l’angle de la vraisemblance prépondérante. Ainsi, déterminer s’il existe ou non, en l’espèce, un lien de causalité (naturel et adéquat), au degré de vraisemblance prépondérante, entre l’acte médical omis et le décès de la patiente constitue la question centrale à examiner. Or, la démonstration de l’appel s’y rapportant tient en un paragraphe, voire en une phrase (cf. let. g, p. 14 de l’appel). Pour les appelants, avec une amélioration des chances de survie évaluée à 30-40% par l’expert, force est d’admettre que la preuve de la causalité qui leur incombait a été rapportée. S’agissant du lien de causalité, les premiers juges ont succintement retenu que les quelques critiques évoquées dans les expertises hors procès et du Prof. C.________, soit pour l’essentiel l’absence de prescription d’un inhibiteur de l’enzyme de conversion d’une part, ainsi que des dosages de troponine et de CPK d’autre part, de même que l’admission de diurétiques par une autre voie que par intraveineuse, ne suffisaient pas en elles-mêmes pour fonder une violation se trouvant en lien de causalité naturelle (respectivement hypothétique considérant l’omission en cause) et adéquate avec l’infarctus aigu du myocarde dont a été victime feu C.W.________ le 12 janvier 2007. Dans l’ATF 133 III 462, le Tribunal fédéral a eu l’occasion de discuter de la notion de perte d’une chance – brièvement évoquée par les appelants, qui indiquent que les « chances de survie» de la défunte «auraient été améliorées de manière significative » –, sans trancher la question sous l’angle de l’art. 42 al. 2 CO. Le Tribunal fédéral s’est contenté de dire que l’autorité cantonale n’avait pas manifestement méconnu les notions juridiques de causalité et de dommage et partant appliqué le droit cantonal de manière arbitraire, tout en reconnaissant néanmoins que la réception en droit suisse de la théorie de la perte d’une chance développée notamment par la jurisprudence française est, à tout le moins, problématique. Notre Haute Cour a également précisé à cette occasion que l’on saurait difficilement retenir que l’acte reproché à un médecin puisse être, avec une vraisemblance prépondérante, la cause naturelle de la perte de l’issue favorable, alors qu’il est établi que la maladie aurait de toute façon provoqué le décès du patient dans les trois quarts des cas, soit à un taux de 75% (d’où un pourcentage de 25% de chances de survie). De même, dans l’arrêt TF 4A_516/2012 du 8 février 2013 c. 4, le Tribunal fédéral a considéré que le lien de causalité adéquat entre le manquement au devoir de diligence et le dommage corporel subi n’avait pas été établi sous l’angle de la vraisemblance prépondérante, dès lors que, selon l’expertise réalisée, même en cas de traitement approprié, la probabilité d’une issue fatale aurait été de 77%, les chances de survie étant donc de 23%. Il n’y a pas lieu de se distancer en l’état des règles jurisprudentielles habituelles en matière de causalité naturelle. Le TF a d’ailleurs confirmé en arbitraire une pratique cantonale, qui avait admis le lien de causalité naturelle entre le diagnostic tardif et la mort du patient, sous l’angle de la vraisemblance prépondérante, dans la mesure où les chances de survie du patient étaient de 60% s’il avait été pris en charge correctement (ATF 133 III 462). En l’espèce, au regard des éléments à disposition, il n’est pas exclu que, même si toute la procédure avait été régulièrement suivie, la patiente serait quand même décédée, l’expert Y.________ retenant une probabilité de survie de seulement 30 à 40% (cf. complément d’expertise du Dr Y.________, ad aIl. 55, 56, 57: «Etant donné que chaque cas est unique, il est impossible de chiffrer avec précision l’importance de l’augmentation des chances de survie de Madame C.W.________. Toutefois, sur la base des documents en ma possession, l’amélioration de ses chances de survie peut être estimée à 30-40% en cas de prise en charge optimale et rapide »; cf. nouveau complément d’expertise du Dr Y.________ du 17 juillet 2012, ad all. 57: « les chances de survie auraient été améliorées de façon significative »), soit inversément une probabilité de décès de 70 à 60%. A noter que les autres experts ne se sont pas prononcés sur cette question, pourtant cardinale. Le pourcentage inférieur retenu par l’expert Y.________ (30%) est proche de l’exemple cité par le TF, qui, rappelons-le, a exclu la causalité naturelle sous l’angle de la vraisemblance prépondérante pour un taux de survie de 25%. Le pourcentage supérieur retenu par l’expert Y.________ (40%) se trouve par ailleurs en-deça des 60% cités par les appelants, référence faite au cas cantonal évoqué dans I’ATF 133 susmentionné, voire encore en-deça des 51% cités dans l’arrêt TF 4A_397/2008 du 23 septembre 2008 (cf. c. 4b supra ) pour admettre un degré de vraisemblance sous l’angle du lien de causalité hypothétique. Autrement dit, il faut que le degré de vraisemblance que la mesure omise aurait permis d’éviter le résultat qui s’est produit atteigne 75%, un taux de 51% étant insuffisant, de même que, a fortiori , un taux de 30 à 40% comme dans le cas qui nous occupe. Au vu de ce qui précède, on ne saurait admettre en l’espèce que l’acte reproché est, avec une vraisemblance prépondérante, la cause naturelle de la perte de l’issue favorable alors que l’on peut dire, sur la base de l’expertise judiciaire – non remise en cause sur cette question (cf. complément d’expertise du Dr Y.________, ad aIl. 55, 56, 57) – que la maladie aurait provoqué le décès, au mieux dans le 60% des cas et au pire dans le 70%. A cela s’ajoute que les experts sont unanimes pour dire que l’état de santé de la patiente commandait qu’elle soit hospitalisée bien plus tôt (expertise du Dr C.________, ad aIl. 98 ; expertise du Dr Y.________, ad aIl. 86 à 133), ce qui ne peut que consolider le résultat de défaut de vraisemblance prépondérante auquel l’on parvient ci-dessus. Il convient dès lors de confirmer le jugement de première instance, les conditions permettant de conclure à une responsabilité de l’intimé n’étant pas réalisées. Compte tenu de ce résultat, il n’y a pas lieu de s’arrêter plus avant sur la question de l’étendue du dommage, qui ne fait d’ailleurs pas l’objet d’une argumentation suffisante en appel, les appelants se contentant de renvoyer « à la procédure en ce qui concerne leurs prétentions en paiement d’une indemnité pour tort moral et en remboursement des frais et dépens de la procédure avant procès » (ATF 138 I 374 c. 4.3.1 ; CACI 17 avril 2014/203, c. 5).</w:t>
      </w:r>
    </w:p>
    <w:p>
      <w:r>
        <w:rPr>
          <w:b/>
        </w:rPr>
        <w:t>E. 6</w:t>
      </w:r>
    </w:p>
    <w:p>
      <w:r>
        <w:t>Il résulte de ce qui précède que l’appel, manifestement infondé, doit être rejeté selon le mode procédural de l’art. 312 al. 1 CPC et le jugement entrepris confirmé. Les frais judiciaires, arrêtés à 2'078 fr. (art. 62 al. 1 TFJC [tarif des frais judiciaires en matière civile du 28 septembre 2010 ; RSV 270.11.5]), seront mis à la charge des appelants, qui succombent (art. 106 al. 1 CPC), solidairement entre eux. L’intimée n’ayant pas été invitée à se déterminer sur l’appel (art. 312 al. 1 CPC), il n’y a pas lieu de lui 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