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1099 vom 14. Dezember 2015</w:t>
      </w:r>
    </w:p>
    <w:p>
      <w:r>
        <w:t>VD Tribunal cantonal, 2015-12-14, FR</w:t>
      </w:r>
    </w:p>
    <w:p>
      <w:r>
        <w:rPr>
          <w:b/>
        </w:rPr>
        <w:t xml:space="preserve">Quelle: </w:t>
      </w:r>
      <w:r>
        <w:t>https://mcp.opencaselaw.ch/entscheid/vd_findinfo_HC___2015___1099</w:t>
      </w:r>
    </w:p>
    <w:p>
      <w:r>
        <w:t>FR: VD_FINDINFO HC / 2015 / 1099 du 14 décembre 2015</w:t>
      </w:r>
    </w:p>
    <w:p>
      <w:r>
        <w:t>IT: VD_FINDINFO HC / 2015 / 1099 del 14 dicembre 2015</w:t>
      </w:r>
    </w:p>
    <w:p>
      <w:pPr>
        <w:pStyle w:val="Heading2"/>
      </w:pPr>
      <w:r>
        <w:t>Regeste</w:t>
      </w:r>
    </w:p>
    <w:p>
      <w:r>
        <w:t>CONTRAT DE TRAVAIL, RÉSILIATION ABUSIVE, RÉSILIATION IMMÉDIATE, FORME ORALE, PROCÉDURE ORALE | 206 al. 2 CPC (CH), 212 CPC (CH), 326 CPC (CH)</w:t>
      </w:r>
    </w:p>
    <w:p>
      <w:pPr>
        <w:pStyle w:val="Heading2"/>
      </w:pPr>
      <w:r>
        <w:t>Erwägungen</w:t>
      </w:r>
    </w:p>
    <w:p>
      <w:r>
        <w:rPr>
          <w:b/>
        </w:rPr>
        <w:t>E. 1</w:t>
      </w:r>
    </w:p>
    <w:p>
      <w:r>
        <w:t>Le recours de l’art. 319 let. a CPC est ouvert notamment contre les décisions finales de première instance qui ne peuvent pas faire l’objet d’un appel. Tel est le cas en l’espèce, s’agissant du jugement final rendu dans une cause pécuniaire dont la valeur litigieuse est inférieure à 10’000 francs. Au reste, formé en temps utile par une partie qui y dispose d’un intérêt (art. 59 al.</w:t>
      </w:r>
    </w:p>
    <w:p>
      <w:r>
        <w:rPr>
          <w:b/>
        </w:rPr>
        <w:t>E. 2</w:t>
      </w:r>
    </w:p>
    <w:p>
      <w:r>
        <w:t>a) 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 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 e éd., Berne 2014, n. 27 ad art. 97 LTF). b) Les conclusions, les allégations de faits et les preuves nouvelles sont irrecevables (art. 326 al. 1 CPC). En l’espèce, sont en conséquence irrecevables les pièces produites par R.________ en procédure de recours.</w:t>
      </w:r>
    </w:p>
    <w:p>
      <w:r>
        <w:rPr>
          <w:b/>
        </w:rPr>
        <w:t>E. 3</w:t>
      </w:r>
    </w:p>
    <w:p>
      <w:r>
        <w:t>a) La recourante conteste la date du début de l’activité de l’intimée qu’elle situe, en l’absence d’un contrat de travail écrit, au 25 décembre 2014 et non au 18 décembre 2014 comme retenu par le premier juge. b) L’absence du défendeur ou d’un représentant autorisé en procédure de conciliation (art. 204 al. 3 CPC) a pour conséquence que l’autorité de conciliation procède comme si la procédure n’avait pas abouti à un accord (art. 206 al. 2 CPC). Elle peut donc délivrer une autorisation de procéder (art. 209 CPC) ou, suivant les cas, une proposition de jugement (art. 209 s. CPC) ou une décision, si la valeur litigieuse ne dépasse pas 2'000 fr. (art. 212 al. 1 CPC). c) En l’espèce, la recourante, qui a fait défaut en procédure de première instance, a produit à l’appui de son recours plusieurs pièces censées étayer sa version des faits. Or, ces pièces, produites pour la première fois en procédure de recours, sont irrecevables (cf. chiffre 2b supra ). Dès lors que la recourante échoue à apporter la preuve du début de l’engagement de l’intimée, tel qu’allégué, son moyen est mal fondé.</w:t>
      </w:r>
    </w:p>
    <w:p>
      <w:r>
        <w:rPr>
          <w:b/>
        </w:rPr>
        <w:t>E. 4</w:t>
      </w:r>
    </w:p>
    <w:p>
      <w:r>
        <w:t>Il s’ensuit que le recours doit être rejeté selon le mode procédural de l’art. 322 al. 1 CPC et le jugement entrepris confirmé. En application de l’art. 114 let. c CPC, il n’est pas perçu de frais judiciaires. Il n’y a pas matière à l’allocation de dépens, l’intimée n’ayant pas été invitée à se déterminer. Par ces motifs, la Chambre des recours civile du Tribunal cantonal, prononce : I. Le recours est rejeté. II. Le jugement est confirmé. III. L’arrêt motivé, rendu sans frais, est exécutoire. Le président :               Le greffier : Du 15 décembre 2015 Le dispositif de l'arrêt qui précède est communiqué par écrit aux intéressés. Le greffier : Du L'arrêt qui précède, dont la rédaction a été approuvée à huis clos, est notifié en expédition complète, par l'envoi de photocopies, à : ‑ Me Cédric Bossicard (pour R.________) ‑ SYNA – Syndicat interprofessionnel (pour Y.________)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