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1098 vom 9. Dezember 2015</w:t>
      </w:r>
    </w:p>
    <w:p>
      <w:r>
        <w:t>VD Tribunal cantonal, 2015-12-09, FR</w:t>
      </w:r>
    </w:p>
    <w:p>
      <w:r>
        <w:rPr>
          <w:b/>
        </w:rPr>
        <w:t xml:space="preserve">Quelle: </w:t>
      </w:r>
      <w:r>
        <w:t>https://mcp.opencaselaw.ch/entscheid/vd_findinfo_HC___2015___1098</w:t>
      </w:r>
    </w:p>
    <w:p>
      <w:r>
        <w:t>FR: VD_FINDINFO HC / 2015 / 1098 du 9 décembre 2015</w:t>
      </w:r>
    </w:p>
    <w:p>
      <w:r>
        <w:t>IT: VD_FINDINFO HC / 2015 / 1098 del 9 dicembre 2015</w:t>
      </w:r>
    </w:p>
    <w:p>
      <w:pPr>
        <w:pStyle w:val="Heading2"/>
      </w:pPr>
      <w:r>
        <w:t>Regeste</w:t>
      </w:r>
    </w:p>
    <w:p>
      <w:r>
        <w:t>CONSIGNATION EN JUSTICE, DÉPENS | 106 al. 1 CPC (CH), 106 al. 2 CPC (CH), 165 CDPJ</w:t>
      </w:r>
    </w:p>
    <w:p>
      <w:pPr>
        <w:pStyle w:val="Heading2"/>
      </w:pPr>
      <w:r>
        <w:t>Erwägungen</w:t>
      </w:r>
    </w:p>
    <w:p>
      <w:r>
        <w:rPr>
          <w:b/>
        </w:rPr>
        <w:t>E. 1</w:t>
      </w:r>
    </w:p>
    <w:p>
      <w:r>
        <w:t>La décision sur frais ne peut être attaquée séparément que par un recours (art. 110 CPC [Code de procédure civile suisse du 19 décembre 2008; RS 272]). Lorsque la décision a été rendue en procédure sommaire, le recours, écrit et motivé, doit être déposé dans un délai de dix jours à compter de la notification (art. 321 al.</w:t>
      </w:r>
    </w:p>
    <w:p>
      <w:r>
        <w:rPr>
          <w:b/>
        </w:rPr>
        <w:t>E. 2</w:t>
      </w:r>
    </w:p>
    <w:p>
      <w:r>
        <w:t>Le recours est recevable pour violation du droit (art. 320 let. a CPC) et constatation manifestement inexacte des faits (art. 320 let. b CPC). L’autorité de recours dispose d’un plein pouvoir d’examen s’agissant de la violation du droit (Spühler, Basler Kommentar ZPO, 2 e éd., 2013, n. 26 ad art. 319 CPC). Elle revoit librement les questions de droit soulevées par le recourant et peut substituer ses propres motifs à ceux de l’autorité précédente ou du recourant (Hohl, Procédure civile, tome II, 2 e éd., 2010, n. 2508).</w:t>
      </w:r>
    </w:p>
    <w:p>
      <w:r>
        <w:rPr>
          <w:b/>
        </w:rPr>
        <w:t>E. 3</w:t>
      </w:r>
    </w:p>
    <w:p>
      <w:r>
        <w:t>a) Le recourant soutient en premier lieu qu'aucun dépens ne peut être alloué dans le cadre d'une procédure gracieuse, telle que la consignation judiciaire. b) L'ordonnance attaquée est une décision prise dans le cadre de la consignation, postérieurement au 1 er janvier 2011. La consignation judiciaire est désormais régie par l'art. 165 CDPJ (Code de droit privé judiciaire du 12 janvier 2010; RSV 211.02) qui précise que le Juge de paix est l'autorité de consignation. Il s'agit donc d'une décision ressortissant à la juridiction gracieuse (art. 111 ss CDPJ). Les art. 104 à 109 CDPJ s'appliquent par le renvoi de l'art. 111 CDPJ. Le Code de procédure civile du 19 décembre 1908 est applicable à titre supplétif (cf. art. 104, 108 et 111 CDPJ). On en déduit l'application de la procécure sommaire (art. 248 let. e CPC). c) Il ne découle d'aucune disposition légale que des dépens seraient exclus en matière de procédure gracieuse. L'opinion de la doctrine dont se prévaut le recourant (Tappy, CPC commenté, Bâle 2011, n. 9 ad art. 106 CPC) ne dit d'ailleurs pas le contraire, mais uniquement qu'il est parfois malaisé d'appliquer les règles ordinaires en matière de dépens, en raison de la notion inadéquate de partie succombante pour les affaires gracieuses. En l'espèce toutefois, la procédure de consignation, bien qu'effectivement de nature non contentieuse selon les règles du CDPJ, oppose plusieurs parties selon des conclusions divergentes, de sorte que la notion de partie succombante est ici tout à fait adaptée. D'ailleurs le recourant lui-même prend des conclusions en allocation de dépens, ce qui est contraire à sa propre argumentation. Partant, le premier grief du recourant est infondé.</w:t>
      </w:r>
    </w:p>
    <w:p>
      <w:r>
        <w:rPr>
          <w:b/>
        </w:rPr>
        <w:t>E. 4</w:t>
      </w:r>
    </w:p>
    <w:p>
      <w:r>
        <w:t>a) Le recourant prétend ensuite que sa partie adverse ne devrait pas être indemnisée pour ses frais de représentant professionnel au motif que son conseil n'a pas déposé d'écriture et qu'il n'y a pas eu d'audience. b) Les dépens sont une indemnité de procédure mise à la charge d'un plaideur en faveur de l'autre pour le dédommager des dépenses ou du manque à gagner occasionnés par le procès (Tappy, op. cit., n. 21 ad art. 95 CPC). Ils comprennent les débours nécessaires et le défraiement d'un représentant professionnel (art. 95 al. 3 CPC). Selon l'art. 3 al. 2 TDC (tarif des dépens du 23 novembre 2010; RSV 270.11.6), dans les contestations portant sur des affaires patrimoniales, le défraiement est fixé selon le type de procédure et la valeur litigieuse (celle-ci étant déterminée par les conclusions; cf. art. 91 al. 1 CPC), en considération de l'importance de la cause, de ses difficultés, de l'ampleur du travail et du temps consacré par l'avocat ou l'agent d'affaires breveté; le juge apprécie l'étendue des opérations nécessaires pour la conduite du procès et se fonde, en règle générale, sur le tarif horaire moyen usuellement admis, réduit de 15% dans les causes dont la valeur litigieuse ne dépasse pas 30'000 fr. et augmenté de manière adéquate dans les causes dont la valeur litigieuse est supérieure à 30'000 francs. c) Le recourant ne conteste pas que le représentant professionnel de l'intimée F.________ a déployé certaines activités sous forme de lettres adressées aux parties ou au juge, de sorte que c'est en vain qu'il conteste par principe l'allocation de dépens, le dédommagement du plaideur n'étant aucunement lié à des opérations particulières de procédure.</w:t>
      </w:r>
    </w:p>
    <w:p>
      <w:r>
        <w:rPr>
          <w:b/>
        </w:rPr>
        <w:t>E. 5</w:t>
      </w:r>
    </w:p>
    <w:p>
      <w:r>
        <w:t>a) Le recourant soutient enfin que sa requête de consignation était bien fondée, de sorte que le premier juge aurait dû lui allouer des dépens plutôt que lui en faire supporter la charge. b) Les frais sont mis à la charge de la partie succombante. La partie succombante est le demandeur lorsque le tribunal n'entre pas en matière et en cas de désistement d'action; elle est le défendeur en cas d'acquiescement (art. 106 al. 1 CPC). La perte d'un procès peut ainsi découler aussi bien d'un motif procédural que de fond (Tappy, op. cit., n. 13 ad art. 106 CPC). Conformément à l'art. 242 CPC, soit lorsque la procédure est devenue sans objet pour d'autres raisons qu'en vertu d'une transaction, d'un acquiescement ou d'un désistement d'action signé par les parties selon l'art. 241 CPC (Tappy, op. cit., n. 23 ad art. 241 CPC), les frais doivent être répartis selon la libre appréciation du juge en vertu de l'art. 107 al. 1 let. e CPC et non sur la base de l'art. 106 al. 1 CPC (CREC 10 octobre 2012/353 c. 3c; Tappy, op. cit., nn. 22 à 24 ad art. 107 CPC). La libre appréciation prévue par l'art. 107 al. 1 CPC se confond, en pratique, avec une répartition en équité laissant une grande marge de manœuvre au juge (Tappy, op. cit., n. 5 ad art. 107 CPC). c) En l'espèce, la cause est devenue sans objet après que D.________ a admis que les dépens alloués en sa faveur dans la procédure au fond devaient être versés à sa mandataire F.________ directement. Contrairement à ce que soutient le recourant, il n'appartenait pas au premier juge de déterminer si la requête en dépens était ou non bien fondée, mais bien si, en équité, il convenait d'indemniser ce mandataire pour les frais de son représentant professionnel dans la procédure en consignation. En équité, indépendamment des questions de droit portant sur la distraction des dépens, le premier juge pouvait parfaitement admettre qu'une indemnisation des frais de procédure se justifiait en raison du fait que le mandataire avait en définitive obtenu le versement des dépens à son profit et que le refus opposé par le requérant dans un premier temps était en conséquence injustifié. En définitive, point n'est besoin de considérer, comme l'a fait le premier juge, que la requête en consignation était téméraire à son dépôt. Il suffit de relever qu'à partir du moment où l'intimée D.________ a donné son accord au versement des dépens à son ancien conseil, la suite de la procédure est imputable à frais au recourant.</w:t>
      </w:r>
    </w:p>
    <w:p>
      <w:r>
        <w:rPr>
          <w:b/>
        </w:rPr>
        <w:t>E. 6</w:t>
      </w:r>
    </w:p>
    <w:p>
      <w:r>
        <w:t>Il en résulte que le recours doit être rejeté en application de l'art. 322 al. 1 CPC et la décision entreprise confirmée. Les frais judiciaires de deuxième instance, arrêtés à 100 fr. (art. 69 al. 1 TFJC [tarif des frais judiciaires civils du 28 septembre 2010; RSV 270.11.5]), seront mis à la charge du recourant, qui succombe (art. 106 al. 1 CPC). Il n’y a pas lieu d’allouer des dépens aux intimées, dès lors qu’elles n’ont pas été invitées à se déterminer. Par ces motifs, la Chambre des recours civile du Tribunal cantonal, en application de l'art. 322 al. 1 CPC, prononce : I. Le recours est rejeté. II. La décision est confirmée. III. Les frais judiciaires de deuxième instance, arrêtés à 100 fr. (cent francs), sont mis à la charge du recourant C.________. IV. L'arrêt motivé est exécutoire. Le président :               La greffière : Du</w:t>
      </w:r>
    </w:p>
    <w:p>
      <w:r>
        <w:rPr>
          <w:b/>
        </w:rPr>
        <w:t>E. 10</w:t>
      </w:r>
    </w:p>
    <w:p>
      <w:r>
        <w:t>décembre 2015 Le dispositif de l'arrêt qui précède est communiqué par écrit aux intéressés. La greffière : Du L'arrêt qui précède, dont la rédaction a été approuvée à huis clos, est notifié en expédition complète, par l'envoi de photocopies, à : ‑ Me Alain Dubuis (pour C.________), ‑ Me Frank Tieche (pour F.________), - Mme D.________. La Chambre des recours civile considère que la valeur litigieuse est inférieure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 Riviera-Pays d'Enhaut.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