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1073 vom 16. November 2015</w:t>
      </w:r>
    </w:p>
    <w:p>
      <w:r>
        <w:t>VD Tribunal cantonal, 2015-11-16, FR</w:t>
      </w:r>
    </w:p>
    <w:p>
      <w:r>
        <w:rPr>
          <w:b/>
        </w:rPr>
        <w:t xml:space="preserve">Quelle: </w:t>
      </w:r>
      <w:r>
        <w:t>https://mcp.opencaselaw.ch/entscheid/vd_findinfo_HC___2015___1073</w:t>
      </w:r>
    </w:p>
    <w:p>
      <w:r>
        <w:t>FR: VD_FINDINFO HC / 2015 / 1073 du 16 novembre 2015</w:t>
      </w:r>
    </w:p>
    <w:p>
      <w:r>
        <w:t>IT: VD_FINDINFO HC / 2015 / 1073 del 16 novembre 2015</w:t>
      </w:r>
    </w:p>
    <w:p>
      <w:pPr>
        <w:pStyle w:val="Heading2"/>
      </w:pPr>
      <w:r>
        <w:t>Regeste</w:t>
      </w:r>
    </w:p>
    <w:p>
      <w:r>
        <w:t>CERTIFICAT D'HÉRITIER, ACTION EN PÉTITION D'HÉRÉDITÉ, SUCCESSION, RAISON DE COMMERCE | 559 al. 1 CC, 559 CC</w:t>
      </w:r>
    </w:p>
    <w:p>
      <w:pPr>
        <w:pStyle w:val="Heading2"/>
      </w:pPr>
      <w:r>
        <w:t>Erwägungen</w:t>
      </w:r>
    </w:p>
    <w:p>
      <w:r>
        <w:rPr>
          <w:b/>
        </w:rPr>
        <w:t>E. 1</w:t>
      </w:r>
    </w:p>
    <w:p>
      <w:r>
        <w:t>a)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mai 2009, n. 87 in fine ad art. 108 du projet, p. 77). Dans le canton de Vaud, l'appel aux héritiers et le certificat d'héritier sont régis par les art. 126 et 133 ss CDPJ. Les art. 104 à 109 CDPJ s'appliquent par renvoi de l'art. 111 CDPJ. Le CPC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1 er septembre 2014/302 ; CREC 9 mai 2014/203 ; CREC 17 avril 2014/143). b) Le recours, écrit et motivé (art. 321 al. 1 CPC), doit s'exercer dans les dix jours à compter de la notification de la décision motivée auprès de l'instance de recours (art. 321 al.1 et 2 CPC), soit, en l'occurrence, la Chambre des recours civile (art. 73 LOJV). L'existence d'un intérêt du recourant (art. 59 al. 2 CPC) est une condition de recevabilité de tout recours, cet intérêt devant être juridique et non de fait (ATF 127 III 429 consid. lb ; ATF 120 II 7 consid. 2a ; ATF 118 11 108 consid. 2c ; JT 2001 III 13). Tel n'est pas le cas lorsque le recours porte uniquement sur l'indication des parts héréditaires, cette indication étant facultative et n'ayant aucune portée juridique (ATF 118 11 108 précité consid. 2b et 2c). c) En l'espèce, le recours, écrit et motivé, a été déposé en temps utile. En tant que destinataires de la décision entreprise, les recourantes, qui ont chacune fait valoir leurs droits durant la procédure ayant mené à la délivrance du certificat d’héritier entrepris, ont toutes deux un intérêt juridique à demander la correction de ce certificat d'héritier, de sorte que le recours est recevable.</w:t>
      </w:r>
    </w:p>
    <w:p>
      <w:r>
        <w:rPr>
          <w:b/>
        </w:rPr>
        <w:t>E. 2</w:t>
      </w:r>
    </w:p>
    <w:p>
      <w:r>
        <w:t>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Il, 2 e éd., Berne 2010, n. 2508).</w:t>
      </w:r>
    </w:p>
    <w:p>
      <w:r>
        <w:rPr>
          <w:b/>
        </w:rPr>
        <w:t>E. 3</w:t>
      </w:r>
    </w:p>
    <w:p>
      <w:r>
        <w:t>a) Les recourantes font valoir que l’intention de feu C.L.________ était bien de verser une part de sa succession à l’entité juridique qui entreprenait les travaux de restauration des anciens bateaux Belle Epoque, à savoir concrètement la société V.________SA, comme en témoigneraient les dons effectués par feu C.L.________ entre 2003 et 2013 à l’Association [...]. Pour les recourantes, on ne verrait pas ce qui aurait pu susciter le désir de feu C.L.________ d’attribuer une part importante de sa succession à R.________SA, qui ne fait qu’assurer le fonctionnement quotidien des bateaux, les anciens comme les modernes. Les recourantes exposent en outre que, dans l’hypothèse d’une attribution de la part de succession à R.________SA, un impôt sur les successions serait prélevé sur la part attribuée, alors qu’en revanche, cette part serait exonérée d’impôts si elle revenait à V.________SA, cette société étant considérée comme étant de pure utilité publique. b) Le certificat d'héritier est une attestation de l'autorité constatant que les personnes mentionnées sur le document sont les seuls héritiers du de cujus et peuvent disposer de ses biens (Steinauer, Le droit des successions, 2015, n. 901, p. 482 et les références citées en note 96).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références citées). L'attestation n’a toutefois qu’un caractère provisoire puisqu'elle n'est délivrée que sous réserve de toutes actions, non seulement en nullité et en pétition d'hérédité comme le précise l'art. 559 al. 1 in fine CC, mais aussi en réduction ou en constatation d'inexistence ou de nullité du testament. Le certificat d'héritier n'est donc pas la preuve absolue de la qualité d'héritier (Steinauer, op. cit., n. 902, et les références citées). La jurisprudence considère à l'instar de la doctrine que la procédure d'établissement du certificat d'héritier n'a pas pour objet de statuer matériellement sur la qualité d'héritier (ATF 128 II 318 consid. 2.2.2 ; TF 5A_255/2010 du 13 septembre 2011 consid. 5).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(TF 5A_495/2010 du 10 janvier 2011 consid. 2.3.2). Le jugement formateur rendu sur une telle action vaudra directement titre de légitimation pour les héritiers dont la qualité aura été reconnue ; il rend sans objet le certificat d'héritier, sans qu'il soit nécessaire d'en faire déclarer la nullité (ATF 104 II 75 consid. II/2 p. 82 ; Karrer/Vogt/Leu, Basler Kommentar,</w:t>
      </w:r>
    </w:p>
    <w:p>
      <w:r>
        <w:rPr>
          <w:b/>
        </w:rPr>
        <w:t>E. 5</w:t>
      </w:r>
    </w:p>
    <w:p>
      <w:r>
        <w:t>e éd., 2015, n. 47 ad art. 559 CC; Müller/Lieb-Lindenmeyer, ZGB-Kommentar, 2 e éd., 2011, n. 14 ad art. 559 CC). b) En l’espèce, les extraits de Registre du commerce figurant au dossier démontrent qu’aucune raison sociale enregistrée ne correspond exactement à la désignation formulée par le défunt dans son testament du 18 septembre 2012. Le premier juge a dès lors désigné en qualité d’héritière instituée la société dont la raison sociale ressemble le plus à la mention opérée dans le testament, la clause visée ne comportant pas les termes « Belle Epoque ». Dans le cadre d’une procédure gracieuse, il n’appartient pas au juge de procéder à une instruction plus approfondie. C’est donc en vain que les recourantes demandent la rectification du certificat d’héritier. Il leur incombe, le cas échéant, d’agir en pétition d’hérédité devant le juge ordinaire. 4. II s’ensuit que le recours doit être rejeté selon le mode procédural de l’art. 322 al. 1 CPC et la décision entreprise confirmée. Les frais judiciaires de deuxième instance, arrêtés à 800 fr. (art. 74 al. 1 TFJC [tarif du 28 septembre 2010 des frais judiciaires civils, RSV 270.11.5]), sont mis à la charge des recourantes, qui succombent (art. 106 al. 1 CPC), solidairement entre elles. Il n’y a pas matière à l’allocation de dépens, les parties intéressées n’ayant pas été invitées à se déterminer. Par ces motifs, la Chambre des recours civile du Tribunal cantonal, prononce : I. Le recours est rejeté. II. La décision est confirmée. III. Les frais judiciaires de deuxième instance, arrêtés à 800 fr. (huit cents francs), sont mis à la charge des recourantes V.________SA et R.________SA, solidairement entre elles. IV. L’arrêt motivé est exécutoire. Le président :               Le greffier : Du 17 novembre 2015 Le dispositif de l'arrêt qui précède est communiqué par écrit aux intéressés. Le greffier : Du L'arrêt qui précède, dont la rédaction a été approuvée à huis clos, est notifié en expédition complète, par l'envoi de photocopies, à : ‑ Me Jacques Ballenberger (pour V.________SA, R.________SA et G.________) ‑ Me José Carlos Coret (pour B.L.________ et D.________) ‑ Me Antoine Bagi (pour J.________) ‑ Me Thierry Monition, not., administrateur officiel de la succession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