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1066 vom 27. Oktober 2015</w:t>
      </w:r>
    </w:p>
    <w:p>
      <w:r>
        <w:t>VD Tribunal cantonal, 2015-10-27, FR</w:t>
      </w:r>
    </w:p>
    <w:p>
      <w:r>
        <w:rPr>
          <w:b/>
        </w:rPr>
        <w:t xml:space="preserve">Quelle: </w:t>
      </w:r>
      <w:r>
        <w:t>https://mcp.opencaselaw.ch/entscheid/vd_findinfo_HC___2015___1066</w:t>
      </w:r>
    </w:p>
    <w:p>
      <w:r>
        <w:t>FR: VD_FINDINFO HC / 2015 / 1066 du 27 octobre 2015</w:t>
      </w:r>
    </w:p>
    <w:p>
      <w:r>
        <w:t>IT: VD_FINDINFO HC / 2015 / 1066 del 27 ottobre 2015</w:t>
      </w:r>
    </w:p>
    <w:p>
      <w:pPr>
        <w:pStyle w:val="Heading2"/>
      </w:pPr>
      <w:r>
        <w:t>Regeste</w:t>
      </w:r>
    </w:p>
    <w:p>
      <w:r>
        <w:t>MODÉRATION, AVOCAT, HONORAIRES, REJET DE LA DEMANDE | 45 al. 1 LPAv, 76 LPA-VD</w:t>
      </w:r>
    </w:p>
    <w:p>
      <w:pPr>
        <w:pStyle w:val="Heading2"/>
      </w:pPr>
      <w:r>
        <w:t>Erwägungen</w:t>
      </w:r>
    </w:p>
    <w:p>
      <w:r>
        <w:rPr>
          <w:b/>
        </w:rPr>
        <w:t>E. 1</w:t>
      </w:r>
    </w:p>
    <w:p>
      <w:r>
        <w:t>a) Aux termes de l'art. 51 LPAv (loi du 24 septembre 2002 sur la profession d'avocat; RSV 177.11), la décision de modération peut faire l'objet d'un recours conformément à la loi du 12 septembre 1979 d'organisation judiciaire (LOJV; RSV 173.01). Celui-ci doit être adressé à la Chambre des recours civile du Tribunal cantonal (art. 73 al. 2 LOJV). Toujours selon l'art. 51 LPAv, le délai de recours est de trente jours dès la notification de la décision et la procédure est fixée par la loi du 28 octobre 2008 sur la procédure administrative (LPA-VD; RSV 173.36). Selon l'art. 79 al. 1 LPA-VD, applicable par renvoi de l'art. 99 LPA-VD, l'acte de recours doit être signé et indiquer les conclusions et motifs du recours (Jomini, Les honoraires et débours de l'avocat vaudois et leur modération, in JdT 1982 III</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(JdT 2006 III 38 consid. 2a; JdT 2003 III 67 consid. 1d). En cas d'admission du recours, elle réforme la décision attaquée ou l'annule; s'il y a lieu, elle renvoie l'affaire à l'autorité intimée (art. 90 LPA-VD, applicable par renvoi de l'art. 99 LPA-VD).</w:t>
      </w:r>
    </w:p>
    <w:p>
      <w:r>
        <w:rPr>
          <w:b/>
        </w:rPr>
        <w:t>E. 3</w:t>
      </w:r>
    </w:p>
    <w:p>
      <w:r>
        <w:t>a) La recourante conclut à ce que les honoraires de Me S.________ soit réduits à 3'494 fr. 20, somme qu'elle a déjà versée. Elle soutient que son conseil de l'époque n'a pas correctement exécuté son mandat et remet en cause la qualité de son intervention. Elle conteste également, non pas le tarif horaire, mais le nombre d'heures consacrées à son mandat, ainsi que le fait d'avoir pas été périodiquement informée du montant des honoraires. b) Le juge de la modération des honoraires n'a pour rôle que de vérifier le rapport entre les honoraires facturés et les opérations effectuées; ce rôle n'est en revanche pas de se prononcer sur la qualité de l'intervention ou sur les résultats obtenus.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(Cour de modération du 12 janvier 2007/602; JdT 1990 III 66 consid. 2a). Ce fractionnement des compétences en la matière est admise par le Tribunal fédéral et la doctrine (TF 4P_131/2004 du 28 septembre 2004 consid. 2). Selon l'art. 45 al. 1 LPAv, l'avocat a droit à des honoraires fixés en tenant compte du temps consacré à l'exécution du mandat, des difficultés et des délais d'exécution de celui-ci, de l'importance des intérêts en cause, du résultat obtenu et de son expérience.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pp. 40 s; JdT 2003 III 67 consid. 1 e p. 69; TF 4P_342/2006 du 5 mars 2007 consid. 4.1 et les arrêts cités).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P_489/1979 du 12 mars 1980, reproduit in SJ 1981 p. 422, consid.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consid. 3.1; Bohnet/Martenet, Droit de la profession d'avocat, 2009, n. 2961, pp. 1169 s).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c) Le premier juge a en substance considéré que le tarif horaire appliqué était de 300 fr., ce qui était parfaitement admissible. Il a toutefois estimé qu'au vu de la nature, de l'ampleur et de la difficulté de la cause, le temps consacré était un peu excessif, de sorte qu'elle a retranché le temps facturé pour des opérations de transmission ou de mémos, ainsi que les opérations relatives à l'ouverture du dossier et clôture, de même que le temps consacré à la correction de projet de lettre et demande. Les postes "frais de copie" n'ont pas été pris en compte à défaut d'indication précise quant à leur nombre et au prix à l'unité. Quant aux autres opérations, elles sont apparues, selon le premier juge comme étant proportionnées aux services rendus. Il a ainsi réduit le temps total à 28 heures. Il a par ailleurs relevé que U.________ ne pouvait se prévaloir de n'avoir pas été au courant des honoraires, dès lors que — bien que l'avocate n'avait pas régulièrement sollicité des provisions — elle lui avait néanmoins adressé trois factures intermédiaires, de sorte que celle-ci était parfaitement au courant des honoraires qui étaient au fur et à mesure engendrés. d) En l'espèce, l'examen auquel s'est livré le premier juge pour parvenir à une activité totale de 28 heures est exempt de tout reproche. La recourante n'entreprend d'ailleurs pas de démontrer quel poste devrait encore être réduit ni dans quelle mesure et se borne, dans une vision subjective, à affirmer que le résultat auquel parvient le premier juge n'est pas correct, sans fournir les éléments qui permettraient de parvenir à un autre résultat. Au surplus, il ressort des éléments du dossier que la recourante a été régulièrement informée par le biais de notes d'honoraires sur le montant approximatif des frais engagés pour la période correspondante. Les griefs de la recourante doivent donc être rejetés.</w:t>
      </w:r>
    </w:p>
    <w:p>
      <w:r>
        <w:rPr>
          <w:b/>
        </w:rPr>
        <w:t>E. 4</w:t>
      </w:r>
    </w:p>
    <w:p>
      <w:r>
        <w:t>La recourante réclame par ailleurs le paiement du dommage prétendument causé, soit le paiement en sa faveur d'un montant de 9'922 euros. Un tel grief n'est pas de la compétence du juge de la modération, lequel n'a pas à se prononcer sur la qualité de l'intervention de l'avocat. Pour ces raisons, le moyen de la recourante doit être déclaré irrecevable.</w:t>
      </w:r>
    </w:p>
    <w:p>
      <w:r>
        <w:rPr>
          <w:b/>
        </w:rPr>
        <w:t>E. 5</w:t>
      </w:r>
    </w:p>
    <w:p>
      <w:r>
        <w:t>Il résulte de ce qui précède que le recours, manifestement infondé, doit être rejeté dans la procédure de l’art. 322 al. 1 CPC et le prononcé entrepris confirmé. Les frais judiciaires de deuxième instance, arrêtés à 400 fr. (art. 69 al. 1 TFJC [tarif des frais judiciaires en matière civile du 28 septembre 2010; RSV 270.11.5]), sont mis la charge de la recourante qui succombe (art. 106 al. 1 CPC). N’ayant pas été invitée à se déterminer, l’intimée n’a pas droit à des dépens. Par ces motifs, la Chambre des recours civile du Tribunal cantonal, en application de l'art. 322 al. 1 CPC, prononce : I. Le recours est rejeté. II. Le prononcé est confirmé. III. Les frais judiciaires de deuxième instance, arrêtés à 400 fr. (quatre cents francs), sont mis à la charge de la recourante U.________. IV. L’arrêt motivé est exécutoire. Le président :               La greffière : Du 28 octobre 2015 Le dispositif de l'arrêt qui précède est communiqué par écrit aux intéressés. La greffière : Du L'arrêt qui précède, dont la rédaction a été approuvée à huis clos, est notifié en expédition complète, par l'envoi de photocopies, à : ‑ Mme U.________, ‑ Me S.________.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