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2015 / 1062 vom 3. Dezember 2015</w:t>
      </w:r>
    </w:p>
    <w:p>
      <w:r>
        <w:t>VD Tribunal cantonal, 2015-12-03, FR</w:t>
      </w:r>
    </w:p>
    <w:p>
      <w:r>
        <w:rPr>
          <w:b/>
        </w:rPr>
        <w:t xml:space="preserve">Quelle: </w:t>
      </w:r>
      <w:r>
        <w:t>https://mcp.opencaselaw.ch/entscheid/vd_findinfo_HC___2015___1062</w:t>
      </w:r>
    </w:p>
    <w:p>
      <w:r>
        <w:t>FR: VD_FINDINFO HC / 2015 / 1062 du 3 décembre 2015</w:t>
      </w:r>
    </w:p>
    <w:p>
      <w:r>
        <w:t>IT: VD_FINDINFO HC / 2015 / 1062 del 3 dicembre 2015</w:t>
      </w:r>
    </w:p>
    <w:p>
      <w:pPr>
        <w:pStyle w:val="Heading2"/>
      </w:pPr>
      <w:r>
        <w:t>Regeste</w:t>
      </w:r>
    </w:p>
    <w:p>
      <w:r>
        <w:t>FOOTBALL, CONTRAT DE TRAVAIL, PROVISION{COMMISSION}, EMPLOYEUR, FAUTE | 322b CO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découle des considérants qui précèdent que l’appel doit être rejeté selon le mode procédural de l’art. 312 al. 1 CPC. Dans les litiges de droit du travail, lorsque les conclusions initiales au moment de l’ouverture de l’action excèdent 30'000 fr., la procédure d’appel n’est pas gratuite (art. 114 let. c CPC a contrario), même si la valeur restant litigieuse en deuxième instance est inférieure à 30'000 fr. (CACI 21 mars 2014/148 ; cf. ATF 100 II 358). Dès lors, les frais de deuxième instance, arrêtés à 661 fr. (art. 62 al. 1 et 67 al. 3 TFJC [tarif des frais judiciaires civils du 28 septembre 2010 ; RSV 270.11.5]), seront mis à la charge de l’appelante qui succombe (art. 106 al. 1 CPC). Il n’y a pas lieu d’allouer de dépens, dès lors que l’intimé n’a pas été invité à se déterminer sur l’appel.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