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1061 vom 10. Dezember 2015</w:t>
      </w:r>
    </w:p>
    <w:p>
      <w:r>
        <w:t>VD Tribunal cantonal, 2015-12-10, FR</w:t>
      </w:r>
    </w:p>
    <w:p>
      <w:r>
        <w:rPr>
          <w:b/>
        </w:rPr>
        <w:t xml:space="preserve">Quelle: </w:t>
      </w:r>
      <w:r>
        <w:t>https://mcp.opencaselaw.ch/entscheid/vd_findinfo_HC___2015___1061</w:t>
      </w:r>
    </w:p>
    <w:p>
      <w:r>
        <w:t>FR: VD_FINDINFO HC / 2015 / 1061 du 10 décembre 2015</w:t>
      </w:r>
    </w:p>
    <w:p>
      <w:r>
        <w:t>IT: VD_FINDINFO HC / 2015 / 1061 del 10 dicembre 2015</w:t>
      </w:r>
    </w:p>
    <w:p>
      <w:pPr>
        <w:pStyle w:val="Heading2"/>
      </w:pPr>
      <w:r>
        <w:t>Regeste</w:t>
      </w:r>
    </w:p>
    <w:p>
      <w:r>
        <w:t>OBLIGATION D'ENTRETIEN, TRAIN DE VIE, MESURE PROVISIONNELLE, PREUVE FACILITÉE | 159 al. 3 CC, 163 CC, 276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Toutefois, des novas peuvent être en principe librement introduits dans les causes régies par la maxime inquisitoire illimitée, par exemple sur la situation des enfants mineurs en droit matrimonial (Tappy, Les voies de droit du nouveau Code de procédure civile, JT 2010 III 115, spéc. pp. 136-137 ; Jeandin, op. cit., n. 5 ad art. 296 CPC et les références citées). En l’espèce, le litige porte sur une contribution à l’entretien de la famille comprenant une enfant mineure, de sorte que les pièces produites par les parties en procédure d’appel sont recevables. Il en sera tenu compte dans la mesure de leur pertinence.</w:t>
      </w:r>
    </w:p>
    <w:p>
      <w:r>
        <w:rPr>
          <w:b/>
        </w:rPr>
        <w:t>E. 3</w:t>
      </w:r>
    </w:p>
    <w:p>
      <w:r>
        <w:t>a) L’appelante soutient que le premier juge n’a pas apprécié le train de vie des parties de manière correcte. Elle critique en particulier le fait que le juge se soit fondé sur un tableau établi par l’intimé, sans prendre en compte les revenus et les charges qu’elle avait allégués et rendus vraisemblables. L’appelante soutient par ailleurs que le premier juge aurait dû prendre en compte, en sus du montant de 6'500 fr. versé mensuellement par l’intimé durant la séparation, le salaire fictif qui lui était versé treize fois l’an par la société F.________SA, par 2'595 fr. 95, ainsi que la mise à disposition de deux véhicules par cette même société. b) Pour fixer la contribution d'entretien due au conjoint à titre de mesures provisionnelles pour la durée de la procédure de divorce selon l'art. 176 al. 1 ch. 1 CC, applicable par analogie (art. 276 al. 1 CPC),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121 I 97 consid. 3b et les arrêts cités ; TF 5A_205/2010 du 12 juillet 2010 consid. 4.2.3, publié in FamPra.ch 2010, p. 894; ATF 119 II 314 consid. 4b/aa). Le juge peut ainsi être amené à adapter la convention conclue pour la vie commune, à la lumière de ces faits nouveaux (TF 5A_236/2011 du 18 octobre 2011 consid. 4.2.3; sur le tout TF 5A_301/2011 du 1 er décembre 2011 consid. 5.1 ; TF 5A_228/2012 du 11 juin 2012 consid. 4.3). En présence d'une situation économique très favorable, dans laquelle les frais supplémentaires liés à l'existence de deux ménages peuvent être couverts, le principe d'une répartition par moitié de l'excédent restant après couverture des besoins vitaux ne s'applique pas, car il conduit à une redistribution des revenus et à un transfert de fortune. Il convient de se fonder sur les dépenses nécessaires au maintien du train de vie du crédirentier et des enfants dont il a la garde, y compris les dépenses supplémentaires occasionnées par la vie séparée. La limite supérieure de l'entretien à servir pendant la procédure de divorce est dans tous les cas constituée par le train de vie mené jusqu'à cessation de la vie commune (ATF 121 I 97 consid. 3b et les références citées ; TF 5A_475/2011 du 12 décembre 2011 consid. 4.1; TF 5A_205/2010 consid. 4.2.3, publié in FamPra.ch 2010, p. 894; TF 5A_2/2008 du 19 juin 2008, publié in FamPra.ch 2008, p. 941; TF 5A_345/2007 du 22 janvier 2008, publié in FamPra.ch 2008, p. 621). L'époux crédirentier peut donc prétendre à ce que la pension soit fixée de façon telle que son train de vie durant la vie commune soit maintenu (TF 5A.732/2007 du 4 avril 2008 consid.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consid. 2a; TF 5A.793/2008 du 8 mai 2009 consid. 3.3). Il appartient par conséquent au juge d'apprécier quelles dépenses correspondent à des besoins raisonnables. La maxime inquisitoire ne dispense pas le crédirentier de son devoir de collaborer et donc de préciser les dépenses nécessaires à son train de vie et de rendre celles-ci vraisemblables (TF 5A_661/2011 du 16 février 2012 consid. 4.2 ; TF 5A_385/2012 du 20 septembre 2012 consid. 6.5). Dans un ménage fortuné, il n'est pas insoutenable de prendre en considération des dépenses de luxe pour fixer la contribution d'entretien. Sont en revanche exclues celles qui, de par leur nature ou leur montant, sont tellement insolites qu'on ne peut raisonnablement pas les faire entrer dans le concept d'entretien. Le Tribunal fédéral a ainsi jugé, en 1992, que des dépenses telles que la location à l'année d'une suite de trois pièces dans un hôtel quatre étoiles, à raison de 300'000 fr. puis 400'0000 fr. environ par année, alors que la personne loue un appartement, ainsi que des frais annuels de l'ordre de 20'000 fr. pour le coiffeur, 18'000 fr. pour le fleuriste et 11'500 fr. pour les taxis relevaient de la prodigalité, même si le débirentier avait assumé certains coûts ou fait régulièrement des libéralités durant la vie commune; admettre le contraire serait revenu à lui imposer des dépenses exorbitantes, le plus souvent purement fantaisistes, consenties à bien plaire et incompatibles avec la notion d'entretien (TF 5P.67/1992 du 12 mai 1992 consid. 2a; cf. aussi TF 5A_793/2008 du 8 mai 2009 consid. 3.3). Savoir si une dépense est insolite ou exorbitante relève du pouvoir d'appréciation du juge (TF 5A_440/2014 du 20 novembre 2014 consid. 4.2.1; TF 5A_386/2014 du 1 er décembre 2014 consid. 4.3: dépenses de 3'000 fr. par mois pour permettre au crédirentier de rendre visite à ses enfants aux Etats-Unis et effectuer des voyages d'agrément jugées non arbitraires en l'espèce). c) En l’espèce, l’application du principe du maintien du train de vie est adéquate compte tenu de la situation financière des parties, ce qui n’est pas contesté par ces dernières. Le premier juge ne pouvait toutefois pas simplement se fonder, pour déterminer le train de vie de l’appelante et de sa fille mineure, sur le montant de 6'686 fr. versé chaque mois par l’intimé à la suite d’un accord intervenu en cours de procédure en déduisant de ce montant une proportion de 20% correspondant à la part de l’enfant H.________, devenue majeure. Aux fins de déterminer le train de vie de C.________, et de sa fille W.________, il appartenait au premier juge, conformément aux principes énoncés ci-dessus, de prendre en considération les charges de l’appelante en appréciant si les dépenses alléguées correspondaient à des besoins raisonnables. On constate à cet égard que l’appelante a produit les pièces nécessaires à la détermination de son train de vie, les charges alléguées paraissant d’une manière générale proportionnées et réalistes, sans que l’on puisse retenir d’emblée qu’elles soient fictives et contribuent à augmenter l’épargne de l’appelante. Compte tenu des dépenses consenties à ce titre en 2013 et selon les décomptes présentés, il est ainsi rendu vraisemblable que des montants de 2'000 fr. et de 500 fr. puissent être pris en considération respectivement à titre de « montant de base (nourriture, produits ménagers) » élargi et de « frais d’entretien (vêtements, coiffeur, cosmétiques et bijoux) ». Il en va de même, au vu des pièces produites, des charges relatives à l’enfant W.________, de celles concernant les frais médicaux de l’appelante et ses autres frais « courants » (téléphone, télévision, journaux, internet) ainsi que de celles en lien avec le logement conjugal. En revanche, le montant mensuel de 2'091 fr. 65, soit un montant de 25'099 fr. 80 par année, allégué à titre de frais de vacances de l’appelante et de sa fille W.________ est exagéré compte tenu des vacances effectivement prises durant la vie commune des parties. Au vu des explications des parties et des pièces produites, on ne saurait en effet retenir que les parties effectuaient, du temps de leur vie commune, chaque année un voyage balnéaire coûtant 25'000 fr., l’ordonnance entreprise évoquant un montant compris entre 15'000 et 25'000 francs. Il convient donc, à défaut de données plus précises, de retenir un montant de 20'000 francs. De même, la location d’un bien immobilier à [...] depuis 2008 n’avait pas pour seul objectif l’hébergement des parties et de leurs enfants durant les vacances de sports d’hiver, mais a servi à l’intimé, selon toute vraisemblance, à l’implantation d’une partie de ses activités professionnelles dans la région. Il s’ensuit que seuls trois mois de location, correspondant à la saison hivernale, soit 6'300 fr. (3 x 2'100 fr.), seront pris en compte au titre de vacances. Compte tenu d’un voyage annuel à hauteur d’un montant de 20'000 fr. et de la location de [...] pour trois mois, par 6’300 fr., le coût total des vacances des parties durant la vie commune pouvait être arrêté à 26’300 fr. au total. Dès lors que seule les parts de l’appelante et de l’enfant W.________ doivent être prises en compte, il sera ainsi retenu un montant mensuel de 1'095 fr. 85 (26’300 fr. / 2 / 12) au titre de frais de vacances. Par ailleurs, à défaut d’éléments plus probants, il convient de prendre en compte, à titre de charge fiscale, l’acompte d’impôts dont l’appelante devra s’acquitter en 2016, à savoir, selon le courrier qui lui a été adressé par l’Office d’impôt des districts de la Riviera – Pays-d’Enhaut en date du 27 novembre 2015, un montant de 24'114 fr. 60, soit 2’009 fr. 50 par mois. S’agissant des frais d’équitation, les charges alléguées, par 918 fr. 55, semblent correspondre à ceux de la requérante et des deux enfants du couple. Or, il convient de ne prendre en considération que les charges relatives à l’appelante personnellement et à l’enfant W.________. Il s’ensuit que seuls les deux tiers de ce montant seront retenus, soit 612 fr. 35 (918 fr. 55 / 3 x 2). Il n’y a par ailleurs pas lieu de prendre en compte les frais de transport allégués par l’appelante, par 475 fr. 40, dès lors que ceux-ci sont actuellement pris en charge par l’intimé, par l’intermédiaire de l’une de ses sociétés. Enfin, la quotité des revenus réalisés par l’appelante par le biais de son activité professionnelle, par 1'575 fr., et de l’immeuble dont elle est propriétaire, par 1'477 fr. 50, est rendue vraisemblable par les justificatifs produits. Il n’y a au surplus pas lieu de remettre en cause les considérations émises par le premier juge en lien avec un éventuel revenu hypothétique à imputer à l’appelante, ce point n’étant pas contesté en procédure d’appel. d) Compte tenu de revenus s’élevant à 3'052 fr. 50 et de charges estimées à 10'422 fr. 85, l’appelante a dès lors besoin chaque mois d’un montant de 7'370 fr. 35 pour maintenir le train de vie mené jusqu’alors par elle-même et sa fille W.________. Il s’ensuit que la contribution d’entretien mise à la charge de l’intimé pour l’entretien de son épouse et de sa fille W.________ doit être arrêtée à un montant arrondi de 7'400 fr. par mois, allocations familiales en sus, dès le 1 er août 2014. On constate à cet égard que, déduction faite des charges liées à l’entretien de H.________, estimées à 1'500 fr., la pension mensuelle mise à la charge de l’intimé est pratiquement équivalente au montant que l’appelante percevait alors de son époux par le biais du salaire fictif versé par la société F.________SA, par 2'595 fr. 95, et du montant de 6'500 fr. versé mensuellement par l’intimé depuis la séparation des parties. Il n’y a au surplus pas lieu d’établir avec plus de précision la situation financière de l’intimé, étant observé que, selon toute vraisemblance et au vu des libertés prises par l’intimé en particulier eu égard au salaire fictif versé à l’appelante jusqu’en septembre 2014, une partie non négligeable de ses dépenses courantes est directement acquittée par l’intermédiaire de ses sociétés. On ne saurait recourir dans ces circonstances, au stade des mesures provisionnelles, aux services d’un expert appelé à distinguer et à déterminer les dépenses prises en charge directement par l’intimé et ceux acquittés par ses différentes sociétés (cf. Chaix, Commentaire romand, 2010, n. 7 ad art. 176 CC). Il est cependant établi à satisfaction de droit qu’au vu des revenus réalisés par l’intimé au cours des dernières années, le paiement des contributions d’entretien à son épouse et à sa fille W.________, par 7'400 fr., ainsi qu’à sa fille H.________, par 2'400 fr., ne saurait entamer son minimum vital, ce que l’intimé ne prétend d’ailleurs pas (cf. CACI 14 février 2014/80).</w:t>
      </w:r>
    </w:p>
    <w:p>
      <w:r>
        <w:rPr>
          <w:b/>
        </w:rPr>
        <w:t>E. 4</w:t>
      </w:r>
    </w:p>
    <w:p>
      <w:r>
        <w:t>a) L’appelante soutient en outre qu’au vu de la différence de revenu entre les parties, de l’importante fortune de l’intimé, de l’avance de frais de 20'000 fr. qui a dû être effectuée par l’appelante pour le dépôt de la demande en divorce et des frais d’avocat qu’elle a d’ores et déjà dû acquitter, l’intimé lui doit un montant de 30'000 fr. à titre de provisio ad litem . b) L'une des conséquences du devoir de solidarité entre époux consiste en l'obligation qui peut être imposée à l'un. des époux de contribuer aux frais de justice et d'avocat de son conjoint dans le cadre d'une procédure de divorce ou de mesures protectrices de l'union conjugale (Micheli et al., Divorcer, Un guide juridique, Lausanne 2014, n. 403 p. 96). D'après la jurisprudence constante du Tribunal fédéral (ATF 103 Ia 99 consid. 4; TF 5A_784/2008 du 20 novembre 2009 consid. 2; TF 5A_826/2008 du 5 juin 2009 consid. 2.2.1), une provisio ad litem est due à l'époux qui ne dispose pas lui-même des moyens suffisants pour assumer les frais du  procès en divorce, dans la mesure où son exécution n'entame pas le minimum nécessaire à l'entretien du conjoint débiteur et des siens. Le fondement de cette prestation – devoir d'assistance (art. 159 al. 3 CC) ou obligation d'entretien (art. 163 CC) – est controversé (TF 5P_346/2005 du 15 novembre 2005 consid. 4.3, FamPra.ch 2006 p. 892 n° 130 et les références citées), mais cet aspect n'a pas d'incidence sur les conditions qui président à son octroi. L'obligation de fournir une telle avance dépend en première ligne de la situation de besoin de la partie qui la requiert. Se trouve dans le besoin celui qui ne pourrait pas assumer les frais d'un procès sans recourir à des moyens qui lui sont nécessaires pour couvrir son entretien courant et celui de sa famille (De Luze/Page/Stoudmann, Droit de la famille, Code annoté, 2013, n. 2.5 ad art. 163 CC et les références citées). Les besoins courants ne doivent pas systématiquement être assimilés au minimum vital du droit des poursuites, mais doivent être adaptés à la situation individuelle. Une situation de besoin peut être admise même lorsque les revenus excèdent de peu les besoins courants ( ibidem ). Les contributions d'entretien ont en principe pour but de couvrir les besoins courants des bénéficiaires, et non de servir, comme la provisio ad litem , à assumer les frais du procès en divorce ; l'octroi d'une telle provision peut donc être justifié indépendamment du montant de la contribution à l'entretien de la famille (TF 5A_448/2009 du 25 mai 2010 consid. 8.2 ; cf. TF 5A_62/2011 du 26 juillet 2011, consid. 3.2 in fine ). Une provisio ad litem peut être accordée déjà au stade des mesures protectrices de l'union conjugale (CREC 15 juin 2012/220; cf. TF 5A_793/2008 du 8 mai 2009 consid. 6.2). Par ailleurs, le Tribunal fédéral a précisé que le devoir d'assistance du conjoint par le versement d'une provisio ad litem l'emporte sur celui d'assistance judiciaire de l'Etat (ATF 119 la 11 consid. 3a ; TF 5A_783/2010 du 8 avril 2011 consid. 8), ce dernier devoir étant subsidiaire. c) En l’espèce, le premier juge a rejeté la conclusion de l’appelante tendant au versement d’une provisio ad litem , au motif que celle-ci n’avait pas démontré manquer des liquidités nécessaires pour supporter ses frais d’avocat. Dans l’argumentation servie à l’appui de son appel, l’appelante omet de relever qu’elle dispose à titre personnel, à l’instar de son époux, d’éléments de fortune dont la quotité n’est pas négligeable. Dès lors qu’elle ne démontre pas avoir épuisé sa fortune, il n’y a pas lieu de donner suite à sa conclusion tendant au versement d’une provisio ad litem , ce d’autant qu’il lui est loisible de procéder au paiement des honoraires de son conseil par le biais d’acomptes. On ne saurait non plus comptabiliser les frais d’avocat parmi les charges de l’appelante, ces frais ne pouvant être considérés, au vu de la jurisprudence précitée, comme étant des besoins courants de la débirentière.</w:t>
      </w:r>
    </w:p>
    <w:p>
      <w:r>
        <w:rPr>
          <w:b/>
        </w:rPr>
        <w:t>E. 5</w:t>
      </w:r>
    </w:p>
    <w:p>
      <w:r>
        <w:t>a) Il résulte de ce qui précède que l’appel doit être partiellement admis. L’ordonnance entreprise sera réformée au chiffre III de son dispositif en ce sens qu’A.________ contribuera à l’entretien de C.________, et de sa fille W.________, par le régulier versement d’une contribution d’entretien de 7'400 fr., allocations familiales en sus, dès le 1 er août 2014. L’ordonnance sera confirmée pour le surplus. b) L’appelante n’obtient que partiellement gain de cause sur l’une des deux conclusions prises en procédure d’appel (contribution d’entretien), sa seconde conclusion étant entièrement rejetée ( provisio ad litem ). Il se justifie dès lors de mettre les frais judiciaires de deuxième instance, arrêtés à 1'200 fr. (art. 65 al. 4 TFJC [tarif du 28 septembre 2010 des frais judiciaires civils, RSV 270.11.5]), pour trois quarts, soit 900 fr., à la charge de l’appelante et, pour un quart, soit 300 fr., à la charge de l’intimé, ce dernier devant rembourser à l’appelante son avance de frais à concurrence de ce montant. L’appelante versera à l’intimé un montant de 1'000 fr. à titre de dépens réduits de deuxième instance (art. 7 al. 1 TDC [tarif des dépens en matière civile du 23 novembre 2010, RSV 270.11.6]). Par ces motifs, le Juge délégué de la Cour d’appel civile du Tribunal cantonal prononce : I. L’appel est partiellement admis. II. L’ordonnance est réformée comme il suit au chiffre III de son dispositif : III. dit qu’A.________ contribuera à l’entretien de C.________, et de sa fille W.________, née le [...] 1998, par le régulier versement, d’avance le premier de chaque mois, d’une contribution d’entretien de 7'400 fr. (sept mille quatre cents francs), allocations familiales en sus, dès le 1 er août 2014. L’ordonnance est confirmée pour le surplus. III. Les frais judiciaires de deuxième instance, arrêtés à 1’200 fr. (mille deux cents francs), sont mis à la charge de l'appelante C.________, par 900 fr. (neuf cents francs) et de l'intimé A.________ par 300 fr. (trois cents francs). IV. L'appelante C.________, doit verser à l'intimé A.________, déduction faite de la restitution d’avance de frais due par l’intimé à l’appelante, la somme de 700 fr. (sept cents francs) à titre de dépens de deuxième instance. V. L’arrêt est exécutoire. Le juge délégué : Le greffier : Du L'arrêt qui précède, dont la rédaction a été approuvée à huis clos, est notifié à : ‑ Me Jean-Marc Reymond (pour C.________) ‑ Me Mireille Loroch (pour A.________) Le Juge délégué de la Cour d’appel civile considère que la valeur litigieuse est de supérieure à 30'000 francs. Le présent arrêt peut faire l'objet d'un recou 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