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106 vom 15. Dezember 2014</w:t>
      </w:r>
    </w:p>
    <w:p>
      <w:r>
        <w:t>VD Tribunal cantonal, 2014-12-15, FR</w:t>
      </w:r>
    </w:p>
    <w:p>
      <w:r>
        <w:rPr>
          <w:b/>
        </w:rPr>
        <w:t xml:space="preserve">Quelle: </w:t>
      </w:r>
      <w:r>
        <w:t>https://mcp.opencaselaw.ch/entscheid/vd_findinfo_HC___2015___106</w:t>
      </w:r>
    </w:p>
    <w:p>
      <w:r>
        <w:t>FR: VD_FINDINFO HC / 2015 / 106 du 15 décembre 2014</w:t>
      </w:r>
    </w:p>
    <w:p>
      <w:r>
        <w:t>IT: VD_FINDINFO HC / 2015 / 106 del 15 dicembre 2014</w:t>
      </w:r>
    </w:p>
    <w:p>
      <w:pPr>
        <w:pStyle w:val="Heading2"/>
      </w:pPr>
      <w:r>
        <w:t>Regeste</w:t>
      </w:r>
    </w:p>
    <w:p>
      <w:r>
        <w:t>DÉCISION FINALE, DÉCISION PARTIELLE, DÉCISION D'IRRECEVABILITÉ, SOCIÉTÉ SIMPLE | 91 LTF, 236 CPC (CH), 237 CPC (CH), 308 al. 1 let. a CPC (CH)</w:t>
      </w:r>
    </w:p>
    <w:p>
      <w:pPr>
        <w:pStyle w:val="Heading2"/>
      </w:pPr>
      <w:r>
        <w:t>Erwägungen</w:t>
      </w:r>
    </w:p>
    <w:p>
      <w:r>
        <w:rPr>
          <w:b/>
        </w:rPr>
        <w:t>E. 1.1</w:t>
      </w:r>
    </w:p>
    <w:p>
      <w:r>
        <w:t>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trente jours à compter de la notification de la décision motivée (art. 311 CPC). Une décision est finale au sens de l'art. 236 CPC si elle met fin au procès soit en tranchant le fond, soit en raison d'un motif de procédure (Tappy, op. cit .), fût-ce in limine litis (Rétornaz, L'appel et le recours, in Procédure civile suisse, les Grands thèmes pour les praticiens, 2010, p. 357). Contrairement à la LTF (loi du 17 juin 2005 sur le Tribunal fédéral ; RS 173.110), le Code de procédure civile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La décision partielle est en réalité une décision "partiellement finale"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(CACI 28 janvier 2013/59). Selon la doctrine, même si elle n'est pas mentionnée à l'art. 308 al. 1 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(Jeandin, CPC commenté, 2011, n. 8 ad art. 308 CPC). Il convient encore de distinguer la décision partielle de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 Staehelin, in Sutter‑Somm/Hasenböhler/Leuenberger (éd.), Kommentar zur Schweizerischen Zivilprozessordnung, 2010, n. 9 ss. ad art. 237, pp. 1350 ss. ; Oberhammer, Basler Kommentar, Schweizerische Zivilprozessordnung, 2010, n. 2 ss. ad art. 237 CPC, pp. 1086 ss. ; Jeandin, op. cit ., n. 9 ad art. 308 CPC ; voir également les exemples cités par Poudret/Haldy/Tappy, Procédure civile vaudoise, 3 e éd., 2002, n. 1 ad art. 285 CPC-VD). Ne constitue pas une décision partielle susceptible d’appel celle par laquelle l’autorité de première instance a tranché une question préalable, en examinant si l’une des conditions nécessaires et cumulatives à l’obtention des prestations d’assurance (couverture d’assurance à telle date) était réalisée ; elle n’a en effet pas statué sur un objet « dont le sort est indépendant » de celui qui reste en cause (CACI 24 février 2012/96). Il en va de même du jugement préjudiciel rendu dans le cadre d’une action en partage, par lequel le premier juge a dit qu’un codicille constituait une règle de partage et que certains terrains pouvaient faire l’objet d’un partage en nature (CACI 21 mai 2012/233) ou encore du jugement préjudiciel admettant que la créance était prescrite dans l’hypothèse où il s’agissait d’un prêt, tout en relevant que cette décision ne mettait pas fin au procès car la prétention pourrait reposer sur d’autres fondements que le prêt (CACI 28 janvier 2013/59) ou encore du jugement « incident » prononçant qu’une partie était au bénéfice d’un droit de gage sur les avoirs de l’autre, qui était préjudicielle aux conclusions en paiement litigieuses (CACI 13 juin 2014/322). Une décision partielle relative à la liquidation du régime matrimonial qui retiendrait que tel ou tel bien déterminé est un propre du conjoint ne paraît pas davantage une décision partiellement finale. Le Tribunal fédéral a ainsi jugé que la récompense ou la participation à la plus-value ne constituait qu’une étape intermédiaire, une position de calcul dans la liquidation du régime matrimonial, de sorte que l’interdiction de la reformatio in pejus s’appliquait uniquement au résultat de la liquidation de ce régime, mais non à la récompense ou à la participation à la plus-value retenue (TF 5A_618/2012 du 27 mai 2013 c. 6.4.3, FamPra.ch 2013 p. 722).</w:t>
      </w:r>
    </w:p>
    <w:p>
      <w:r>
        <w:rPr>
          <w:b/>
        </w:rPr>
        <w:t>E. 1.2</w:t>
      </w:r>
    </w:p>
    <w:p>
      <w:r>
        <w:t>En l’espèce, les premiers juges ont prononcé que l’Ecole professionnelle d’esthétique [...] ne faisait pas partie de la société simple formée par les parties, la défenderesse en étant reconnue seule et unique propriétaire. La question de savoir si l’école [...] fait ou non partie de la société simple n’est qu’une question préjudicielle aux conclusions qui font encore l’objet du procès, soit celles en dissolution et en liquidation de la société simple. La question de savoir qui doit être reconnu propriétaire de cette école n’est qu’une conséquence de la qualification de ce bien, sans portée propre, et ne fait l’objet d’aucune contestation en tant que telle, d’autant que, tant dans sa demande du 10 juillet 2012 que dans ses déterminations du 26 septembre 2013, l’appelant conclut lui-même à ce que l’intimée soit reconnue seule et unique propriétaire de l’école [...]         (cf. supra ch. 6 et 8). En conséquence, la décision attaquée ne constitue pas une décision partiellement finale.</w:t>
      </w:r>
    </w:p>
    <w:p>
      <w:r>
        <w:rPr>
          <w:b/>
        </w:rPr>
        <w:t>E. 2</w:t>
      </w:r>
    </w:p>
    <w:p>
      <w:r>
        <w:t>En définitive, le jugement querellé n’étant pas une décision attaquable au sens de l’art. 308 al. 1 let. a CPC, l’appel doit être déclaré irrecevable, étant précisé que l’indication erronée d’une voie de droit ne saurait créer une voie de droit inexistante (ATF 117 Ia 297 c. 2). Il n’est dès lors pas nécessaire d’examiner les autres conditions de recevabilité. Vu l’indication erronée des voies de droit, l’appel n’étant pas d’emblée dénué de toutes chances de succès, la requête d'assistance judiciaire est admise, Me Astyanax Peca étant désigné comme conseil d’office de l’appelant pour la procédure d’appel. Les frais judiciaires de deuxième instance, arrêtés à 2'000 fr. (art. 62  al. 1 TFJC [Tarif du 28 septembre 2010 des frais judiciaires civils; RSV 270.11.5]), seront laissés à la charge de l’Etat (art. 122 al. 1 let. b CPC). En sa qualité de conseil d’office de l’appelant, Me Astyanax Peca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d’opérations du 12 décembre 2014, l’avocat indique avoir consacré 9.40 heures à ce mandat et fait état de débours par 108 fr., TVA incluse. Ce décompte peut être admis, de sorte que l’indemnité d’office de Me Astyanax Peca doit être arrêtée à 1'740 fr. pour ses honoraires (9.40 heures x 180 fr.), plus          139 fr. 20 de TVA au taux de 8%. En ajoutant des débours par 108 fr., l’indemnité sera fixée à 1'987 fr. 20. Le bénéficiaire de l’assistance judiciaire est, dans la mesure de l’art. 123 CPC, tenu au remboursement des frais judiciaires et de l’indemnité au conseil d’office, mis à la charge de l’Etat.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