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 vom 20. Januar 2015</w:t>
      </w:r>
    </w:p>
    <w:p>
      <w:r>
        <w:t>VD Tribunal cantonal, 2015-01-20, FR</w:t>
      </w:r>
    </w:p>
    <w:p>
      <w:r>
        <w:rPr>
          <w:b/>
        </w:rPr>
        <w:t xml:space="preserve">Quelle: </w:t>
      </w:r>
      <w:r>
        <w:t>https://mcp.opencaselaw.ch/entscheid/vd_findinfo_HC___2015___105</w:t>
      </w:r>
    </w:p>
    <w:p>
      <w:r>
        <w:t>FR: VD_FINDINFO HC / 2015 / 105 du 20 janvier 2015</w:t>
      </w:r>
    </w:p>
    <w:p>
      <w:r>
        <w:t>IT: VD_FINDINFO HC / 2015 / 105 del 20 gennaio 2015</w:t>
      </w:r>
    </w:p>
    <w:p>
      <w:pPr>
        <w:pStyle w:val="Heading2"/>
      </w:pPr>
      <w:r>
        <w:t>Regeste</w:t>
      </w:r>
    </w:p>
    <w:p>
      <w:r>
        <w:t>HONORAIRES, AVOCAT D'OFFICE, RÉDUCTION{EN GÉNÉRAL} | 110 CPC (CH), 122 al. 1 let. a CPC (CH)</w:t>
      </w:r>
    </w:p>
    <w:p>
      <w:pPr>
        <w:pStyle w:val="Heading2"/>
      </w:pPr>
      <w:r>
        <w:t>Erwägungen</w:t>
      </w:r>
    </w:p>
    <w:p>
      <w:r>
        <w:rPr>
          <w:b/>
        </w:rPr>
        <w:t>E. 1</w:t>
      </w:r>
    </w:p>
    <w:p>
      <w:r>
        <w:t>a) L'art. 110 CPC ouvre la voie du recours séparé de l’art. 319 let. b ch. 1 CPC contre les décisions fixant l’indemnité du conseil d’office, cette indemnité étant considérée comme des frais au sens de l’art. 95 CPC (CREC 15 avril 2014/140; CREC 13 février 2013/52;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a) 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b) En l’espèce, les pièces qui ne figurent pas déjà au dossier de première instance sont irrecevables.</w:t>
      </w:r>
    </w:p>
    <w:p>
      <w:r>
        <w:rPr>
          <w:b/>
        </w:rPr>
        <w:t>E. 3</w:t>
      </w:r>
    </w:p>
    <w:p>
      <w:r>
        <w:t>a) Le recourant conteste le montant qui lui a été alloué à titre d’indemnité d’assistance judiciaire le considérant comme insuffisant. Il soutient que la situation entre les parties était particulièrement tendue et qu'il a tenté de trouver un accord avant de déposer la requête d'expulsion du 7 août 2014. Il prétend également que le fait que les locataires n'aient pas immédiatement avisé leur conseil de la situation a engendré une multiplication des échanges de courriers. Quant aux deux entretiens avec sa mandante, ils auraient tous deux été nécessaires compte tenu du fait que faute de domicile, elle était hébergée en [...] chez ses enfants. Il fait encore valoir que, au vu des tensions existantes, sa présence lors de l'état des lieux de sortie était nécessaire. Celle-ci lui aurait de plus permis de s'assurer du réel départ des locataires et de tenter une nouvelle fois la conciliation. Enfin, il soutient que la décision de première instance n'est pas suffisamment motivée. b) Aux termes de l'art. 122 al. 1 let. a CPC, le conseil juridique commis d'office est rémunéré équitablement par le canton. Cette notion aux contours imprécis doit permettre aux cantons de fixer, sur la base d’un large pouvoir d’appréciation (TF 5P_291/2006 du 19 septembre 2006), le montant de l’indemnité allouée au conseil d’office dans les limites de leur tarif des frais (art. 96 CPC).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du 7 décembre 2010,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et, d’autre part, il peut également refuser d’indemniser le conseil pour des opérations qu’il estime inutiles ou superflues. c) i) Contrairement à ce que soutient le recourant, la décision entreprise est suffisamment motivée. En effet, dans la mesure où la première juge a indiqué qu'elle considérait que le temps consacré par le recourant à son mandat était disproportionné eu égard à la difficulté de la cause, que celle-ci ne nécessitait en effet pas l'envoi de 55 correspondances, ni la tenue de deux conférences avec sa mandante et encore moins sa présence lors de l'état des lieux de sortie et que dès lors le temps consacré au mandat devait être réduit à 9 heures, ce grief doit être rejeté. ii) Le fait que la situation ait été tendue entre les parties et que le recourant ait tenté de trouver un terrain d'entente avant le dépôt de la requête d'expulsion du 7 août 2014 n'est pas établi à satisfaction par ce dernier à qui il incombait la preuve de l'étendue de son mandat. En effet, le recourant n'a produit aucune pièce à l'appui de ses allégations en première instance, telles que des échanges de courriers avec la partie adverse. Il n'en a du reste fait mention ni dans la requête d'expulsion ni dans les déterminations du 3 octobre 2014. iii) Il en va de même s'agissant des nombreux courriers que le recourant aurait échangé avec sa mandante qui ne figurent pas au dossier de première instance. iv) Le fait que la mandante - qui ne disposait plus de domicile en Suisse suite au refus par les locataires de libérer l'appartement - ait été domiciliée en [...] durant quelques mois, n'explique pas la nécessité de deux entretiens avec le recourant en l'espace de quatre mois. Au demeurant, il ressort de la requête d'expulsion du 7 août 2014 que la requérante avait conclu un premier contrat de bail à loyer en 2013, notamment parce qu'elle souhaitait rendre visite à sa famille en [...] pour quelques mois, puis un autre contrat, notamment parce qu'elle pensait que les revenus locatifs lui permettraient de s'acquitter de son crédit hypothécaire et des amortissements. Le lien entre l'absence de domicile en Suisse et la nécessité de deux entretiens dans le cadre de la procédure d'expulsion n'est ainsi pas établi à satisfaction par le recourant. v) Contrairement à ce que soutient le recourant, sa participation à l'état des lieux de sortie n'était pas nécessaire dans le cadre de la procédure d'expulsion, en particulier au regard d'une solution transactionnelle recherchée au paiement des arriérés de loyer lors dudit état des lieux, élément qui n'est du reste pas non plus établi. En définitive, c'est à juste titre que la première juge n'a pas comptabilisé les heures suivantes : 6 heures à titre de correspondances, 1 heure d'étude du dossier, 1h15 à titre de contacts avec sa mandante, 30 minutes à titre de rédaction de la requête d'expulsion et 45 minutes à titre de présence à l'état des lieux et a ainsi ramené le nombre d'heures à neuf et les débours à 150 francs. L’indemnité de conseil d’office de Me V.________ arrêtée à 1'899 fr. 60 (9h à 180 fr. = 1'620 + 129 fr. 60 TVA + 150 fr. de débours) par la première juge ne prête ainsi pas le flanc à la critique.</w:t>
      </w:r>
    </w:p>
    <w:p>
      <w:r>
        <w:rPr>
          <w:b/>
        </w:rPr>
        <w:t>E. 4</w:t>
      </w:r>
    </w:p>
    <w:p>
      <w:r>
        <w:t>Compte tenu de ce qui précède, le recours doit être rejeté et la décision entreprise confirmée. Les frais judiciaires de deuxième instance, arrêtés à 100 fr. (art. 69 al. 3 TFJC [tarif des frais judiciaires civils du 28 septembre 2010, RSV 270.11.5]), sont mis à la charge du recourant. Il n’est pas alloué de dépens à l'intimée, qui n’a pas été invitée à se déterminer.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V.________. IV. L'arrêt motivé est exécutoire. Le président :               La greffière : Du 22 janvier 2015 Le dispositif de l'arrêt qui précède est communiqué par écrit aux intéressés. Le greffière : Du L'arrêt qui précède, dont la rédaction a été approuvée à huis clos, est notifié en expédition complète, par l'envoi de photocopies, à : ‑ Me V.________ personnellement, - Mme I.________ personnellement. La Chambre des recours civile considère que la valeur litigieuse est de 1'983 fr. 80.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