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1039 vom 11. November 2015</w:t>
      </w:r>
    </w:p>
    <w:p>
      <w:r>
        <w:t>VD Tribunal cantonal, 2015-11-11, FR</w:t>
      </w:r>
    </w:p>
    <w:p>
      <w:r>
        <w:rPr>
          <w:b/>
        </w:rPr>
        <w:t xml:space="preserve">Quelle: </w:t>
      </w:r>
      <w:r>
        <w:t>https://mcp.opencaselaw.ch/entscheid/vd_findinfo_HC___2015___1039</w:t>
      </w:r>
    </w:p>
    <w:p>
      <w:r>
        <w:t>FR: VD_FINDINFO HC / 2015 / 1039 du 11 novembre 2015</w:t>
      </w:r>
    </w:p>
    <w:p>
      <w:r>
        <w:t>IT: VD_FINDINFO HC / 2015 / 1039 del 11 novembre 2015</w:t>
      </w:r>
    </w:p>
    <w:p>
      <w:pPr>
        <w:pStyle w:val="Heading2"/>
      </w:pPr>
      <w:r>
        <w:t>Regeste</w:t>
      </w:r>
    </w:p>
    <w:p>
      <w:r>
        <w:t>AMENDE, COMPARUTION PERSONNELLE, ABSENCE INJUSTIFIÉE, AUTORITÉ DE CONCILIATION | 128 al. 1 CPC (CH), 147 CPC (CH), 204 al. 1 CPC (CH), 204 al. 3 CPC (CH), 206 al. 1 CPC (CH), 206 al. 2 CPC (CH)</w:t>
      </w:r>
    </w:p>
    <w:p>
      <w:pPr>
        <w:pStyle w:val="Heading2"/>
      </w:pPr>
      <w:r>
        <w:t>Erwägungen</w:t>
      </w:r>
    </w:p>
    <w:p>
      <w:r>
        <w:rPr>
          <w:b/>
        </w:rPr>
        <w:t>E. 1</w:t>
      </w:r>
    </w:p>
    <w:p>
      <w:r>
        <w:t>L'art. 110 CPC ouvre la voie du recours de l'art. 319 let. b ch. 1 CPC contre les décisions sur les frais, à savoir les frais judiciaires et les dépens (art. 95 CPC). L'art. 128 al. 4 CPC ouvre également la voie du recours de l'art. 319 let. b ch. 1 CPC contre les décisions sur les amendes disciplinaires. Interjeté en temps utile (art. 321 al. 1 CPC) par une partie qui a un intérêt digne de protection (art. 59 al. 2 let. a CPC), le recours est recevable tant concernant les frais que l'amende disciplinaire que représente la sanction infligée pour le défaut à l'audience.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 b) Les conclusions, les allégations de faits et les preuves nouvelles sont irrecevables (art. 326 al. 1 CPC). En l'espèce, toutes les pièces produites par la recourante sont recevables en tant qu'elles figurent déjà au dossier de première instance.</w:t>
      </w:r>
    </w:p>
    <w:p>
      <w:r>
        <w:rPr>
          <w:b/>
        </w:rPr>
        <w:t>E. 3</w:t>
      </w:r>
    </w:p>
    <w:p>
      <w:r>
        <w:t>a) La recourante fait valoir que le locataire ne l'a pas fait figurer comme partie dans sa requête de conciliation, de sorte que sa participation à la procédure n'a aucun fondement juridique et qu'elle a été convoquée à tort à l'audience de conciliation. De toute manière, elle considère que la sanction infligée ne repose sur aucune base légale, dès lors que la solution adoptée par l'autorité de conciliation est exclue par les art. 206 et 207 al. 2 CPC et que l'application de l'art. 115 CPC est erronée dans son cas. b) Aux termes de l'art. 147 CPC, une partie est défaillante lorsqu'elle omet d'accomplir un acte de procédure dans le délai prescrit ou ne se présente pas lorsqu'elle est citée à comparaître (al. 1). La procédure suit alors son cours sans qu'il soit tenu compte du défaut, à moins que la loi n'en dispose autrement (al. 2). Les parties doivent comparaître en personne à l'audience de conciliation (art. 204 al. 1 CPC). Est toutefois dispensée de comparution et peut se faire représenter la personne empêchée de comparaître pour cause de maladie, d'âge ou en raison d'autres justes motifs (art. 204 al. 3 let. b CPC). Selon l'art. 206 al. 1 CPC, en cas de défaut du demandeur, la requête est considérée comme retirée ; la procédure devient sans objet et l'affaire est rayée du rôle (al. 1). Le demandeur est défaillant au sens de cette disposition lorsqu'il n'est pas présent à l'audience ni valablement représenté aux conditions de l'art. 204 al. 3 CPC. Selon l'art. 206 al. 2 CPC, lorsque le défendeur fait défaut, l'autorité de conciliation procède comme si la procédure n'avait pas abouti à un accord (art. 209 à 212 CPC). L'art. 128 al. 1 CPC permet au juge de sanctionner quiconque, au cours de la procédure devant le tribunal, enfreint les convenances ou perturbe le déroulement de la procédure. Cette disposition consacre le pouvoir de police de l'audience du juge qui lui permet d'assurer le déroulement normal des débats et de la procédure (Haldy, CPC commenté, Bâle 2011, n. 3 ad art. 128 CPC). L'amende disciplinaire en procédure de conciliation est exclue lorsque la partie défaillante n'a pas été préalablement menacée de cette sanction (ATF 141 III 265 consid. 3-5). c) En l'espèce, la recourante ne s'est pas présentée à l'audience de conciliation du</w:t>
      </w:r>
    </w:p>
    <w:p>
      <w:r>
        <w:rPr>
          <w:b/>
        </w:rPr>
        <w:t>E. 7</w:t>
      </w:r>
    </w:p>
    <w:p>
      <w:r>
        <w:t>septembre 2015, considérant qu'elle n'était pas partie à la procédure. Il ne se justifiait pas de prononcer une sanction sous forme d'un émolument d'audience « pour le défaut à l'audience », dès lors que le CPC prévoit exhaustivement les conséquences du défaut pour la partie défenderesse dans la procédure de conciliation et que la recourante n'étant au demeurant pas partie à cette procédure, à teneur de la requête dont était saisie l'autorité de conciliation. En outre, en vertu de l'art. 206 al. 2 CPC, il ne peut y avoir de conséquence s'agissant des frais de la procédure, le demandeur obtenant une autorisation de procéder comme si la conciliation n'avait pas abouti. On ne saurait donc affirmer que la recourante aurait perturbé le déroulement de la procédure au sens de l'art. 128 al. 1 CPC. De toute manière, même si tel avait été le cas, la Commission de conciliation n'aurait pu infliger une amende que si la recourante avait été préalablement menacée d'une telle sanction. Il s'ensuit que le chiffre 4 du dispositif de la décision litigieuse doit être supprimé. Par égalité de traitement avec la recourante et en application de l'art. 334 al. 1 CPC qui permet de rectifier un dispositif contradictoire, il y a également lieu de supprimer la sanction infligée à V.________SA. 4. La conclusion de la recourante tendant à obtenir des dépens de deuxième instance doit être rejetée, dans la mesure où l'Etat de Vaud ne saurait être considéré comme une partie adverse dans le cas d'espèce (Tappy, CPC commenté, Bâle 2011, n. 34 ad art. 107 CPC). K.________ ne saurait non plus être astreint au versement de dépens, dès lors que les prétentions de la recourante ne le concernent pas et qu'il ne s'est pas déterminé sur le recours. 5. En définitive, le recours doit être admis et la décision entreprise réformée en ce sens que les chiffres 3 et 4 de son dispositif sont supprimés. Les frais judiciaires de deuxième instance, arrêtés à 100 fr. (art. 69 al. 1 TFJC [tarif des frais judiciaires en matière civile du 28 septembre 2010 ; RSV 270.11.5]), sont laissés à la charges de l'Etat (art. 107 al. 2 CPC). Par ces motifs, la Chambre des recours civile du Tribunal cantonal, prononce : I. Le recours est admis. II. La décision est réformée en ce sens que les chiffres 3 et 4 de son dispositif sont supprimés. III. Les frais judiciaires de deuxième instance, arrêtés à 100 fr. (cent francs), sont laissés à la charge de l'Etat. IV. L'arrêt motivé est exécutoire. Le président :               La greffière : Du</w:t>
      </w:r>
    </w:p>
    <w:p>
      <w:r>
        <w:rPr>
          <w:b/>
        </w:rPr>
        <w:t>E. 12</w:t>
      </w:r>
    </w:p>
    <w:p>
      <w:r>
        <w:t>novembre 2015 Le dispositif de l'arrêt qui précède est communiqué par écrit aux intéressés. La greffière : Du L'arrêt qui précède, dont la rédaction a été approuvée à huis clos, est notifié en expédition complète, par l'envoi de photocopies, à : ‑ Me Jérôme Bénédict (pour T.________ ‑ M. Didier Vittoz (pour K.________) La Chambre des recours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Préfecture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