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1033 vom 28. Oktober 2015</w:t>
      </w:r>
    </w:p>
    <w:p>
      <w:r>
        <w:t>VD Tribunal cantonal, 2015-10-28, FR</w:t>
      </w:r>
    </w:p>
    <w:p>
      <w:r>
        <w:rPr>
          <w:b/>
        </w:rPr>
        <w:t xml:space="preserve">Quelle: </w:t>
      </w:r>
      <w:r>
        <w:t>https://mcp.opencaselaw.ch/entscheid/vd_findinfo_HC___2015___1033</w:t>
      </w:r>
    </w:p>
    <w:p>
      <w:r>
        <w:t>FR: VD_FINDINFO HC / 2015 / 1033 du 28 octobre 2015</w:t>
      </w:r>
    </w:p>
    <w:p>
      <w:r>
        <w:t>IT: VD_FINDINFO HC / 2015 / 1033 del 28 ottobre 2015</w:t>
      </w:r>
    </w:p>
    <w:p>
      <w:pPr>
        <w:pStyle w:val="Heading2"/>
      </w:pPr>
      <w:r>
        <w:t>Regeste</w:t>
      </w:r>
    </w:p>
    <w:p>
      <w:r>
        <w:t>TRIBUNAL FÉDÉRAL, DÉPENS, DÉCISION DE RENVOI, PREMIÈRE INSTANCE | 106 CPC</w:t>
      </w:r>
    </w:p>
    <w:p>
      <w:pPr>
        <w:pStyle w:val="Heading2"/>
      </w:pPr>
      <w:r>
        <w:t>Erwägungen</w:t>
      </w:r>
    </w:p>
    <w:p>
      <w:r>
        <w:rPr>
          <w:b/>
        </w:rPr>
        <w:t>E. 1</w:t>
      </w:r>
    </w:p>
    <w:p>
      <w:r>
        <w:t>Le Tribunal fédéral a définitivement tranché la question des appels de D.________ et T.________SA et a renvoyé la cause à la cour de céans pour nouvelle décision sur les frais et dépens de la procédure cantonale (c. 5).</w:t>
      </w:r>
    </w:p>
    <w:p>
      <w:r>
        <w:rPr>
          <w:b/>
        </w:rPr>
        <w:t>E. 2</w:t>
      </w:r>
    </w:p>
    <w:p>
      <w:r>
        <w:t>Le Tribunal fédéral a considéré qu'il ne pouvait pas revoir l'arrêt du Tribunal cantonal du 13 mars 2015 en tant qu'il maintenait la répartition des frais et dépens de première instance – soit que la défenderesse devait verser au demandeur la somme de 2'533 fr. 30 à titre de dépens réduits de deux tiers –, nonobstant les modifications consécutives à l'arrêt de renvoi du 8 octobre 2014. En revanche, subsistait l'opportunité pour la cour de céans d'apprécier si l'augmentation des prétentions fondées sur l'art. 337c CO, passant de 6'274 fr. 05 à 8'804 fr. 85, était de nature à influer sur la répartition des frais et dépens de première instance. En première instance, D.________ a conclu au paiement de 30'593 fr. 15, incluant principalement l'indemnisation de la perte de salaire due au congé immédiat injustifié et une indemnité de 9'600 francs. Dans la mesure où le travailleur n'obtient que 2'530 fr. 80 de plus (8'804 fr. 85 – 6'274 fr. 05) en procédure fédérale sur les 30'593 fr. 15 réclamés, il n'y a pas lieu de modifier la répartition des frais et dépens de première instance, de sorte que le jugement du Tribunal civil de l'arrondissement de Lausanne du 25 avril 2013 doit être confirmé sur ce point.</w:t>
      </w:r>
    </w:p>
    <w:p>
      <w:r>
        <w:rPr>
          <w:b/>
        </w:rPr>
        <w:t>E. 3</w:t>
      </w:r>
    </w:p>
    <w:p>
      <w:r>
        <w:t>a) Aux termes de l’art. 106 CPC, les frais – qui comprennent les frais judiciaires et les dépens (art. 95 al. 1 CPC) – sont mis à la charge de la partie succombante (al. 1). Lorsqu’aucune des parties n’obtient entièrement gain de cause, les frais sont répartis selon le sort de la cause (al. 2). b) Il n'est pas perçu de frais judiciaires de deuxième instance, s'agissant d'un litige portant sur un contrat de travail dont la valeur litigieuse n'excède pas 30'000 fr. (art. 114 let. c CPC). c) Dans le cadre de leurs appels respectifs, D.________ a réclamé 26'132 fr. 30, soit 23'640 fr. de plus que le montant alloué en première instance (26'132 fr. 30 – 2'492 fr. 30), et T.________SA a réclamé 20'651 fr. 55 en ayant succombé sur le tout en première instance. La valeur litigieuse est de 44'291 fr. 55, dès lors que les prétentions s'additionnent (art. 93 al. 1 CPC). Les dépens de deuxième instance peuvent par conséquent être fixés à 3'000 fr. pour chaque conseil (art. 12 TDC [tarif du 23 novembre 2010 des dépens en matière civile ; RSV 270.11.6]). D.________ obtient 11'297 fr. 15 après réforme au Tribunal fédéral (2'492 fr. 30 + 8'804 fr. 85), soit à peu près la moitié de ses conclusions actives, et obtient entièrement gain de cause sur ses conclusions libératoires. Il a donc droit à 75 % des dépens fixés à 3'000 fr., sous déduction de 25 % dus au conseil adverse, soit en définitive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