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1031 vom 19. Oktober 2015</w:t>
      </w:r>
    </w:p>
    <w:p>
      <w:r>
        <w:t>VD Tribunal cantonal, 2015-10-19, FR</w:t>
      </w:r>
    </w:p>
    <w:p>
      <w:r>
        <w:rPr>
          <w:b/>
        </w:rPr>
        <w:t xml:space="preserve">Quelle: </w:t>
      </w:r>
      <w:r>
        <w:t>https://mcp.opencaselaw.ch/entscheid/vd_findinfo_HC___2015___1031</w:t>
      </w:r>
    </w:p>
    <w:p>
      <w:r>
        <w:t>FR: VD_FINDINFO HC / 2015 / 1031 du 19 octobre 2015</w:t>
      </w:r>
    </w:p>
    <w:p>
      <w:r>
        <w:t>IT: VD_FINDINFO HC / 2015 / 1031 del 19 ottobre 2015</w:t>
      </w:r>
    </w:p>
    <w:p>
      <w:pPr>
        <w:pStyle w:val="Heading2"/>
      </w:pPr>
      <w:r>
        <w:t>Regeste</w:t>
      </w:r>
    </w:p>
    <w:p>
      <w:r>
        <w:t>AVOCAT D'OFFICE, DÉCISION SUR FRAIS, OBLIGATION DE CHIFFRER LES CONCLUSIONS | 110 CPC (CH), 321 al. 1 CPC (CH)</w:t>
      </w:r>
    </w:p>
    <w:p>
      <w:pPr>
        <w:pStyle w:val="Heading2"/>
      </w:pPr>
      <w:r>
        <w:t>Erwägungen</w:t>
      </w:r>
    </w:p>
    <w:p>
      <w:r>
        <w:rPr>
          <w:b/>
        </w:rPr>
        <w:t>E. 1</w:t>
      </w:r>
    </w:p>
    <w:p>
      <w:r>
        <w:t>a) La rémunération du conseil juridique commis d'office est réglée par l'art. 122 CPC (Code de procédure civile suisse du 19 décembre 2008, RS 272),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Cette disposition ouvre la voie du recours séparé de l’art. 319 let. b ch. 1 CPC contre les décisions fixant l’indemnité du conseil d’office, cette indemnité étant considérée comme des frais au sens de l’art. 95 CPC (CREC 13 février 2013/52; Tappy, op. cit., n. 21 ad art. 122 CPC). En cas de recours sur le seul sort des frais réglé dans une décision finale, incidente ou provisionnelle, le délai de recours est en principe de 30 jours (art. 321 al. 1 CPC). b) En l’espèce, le recours a été formé en temps utile par une partie qui y a un intérêt digne de protection (art. 59 al. 2 let. a CPC).</w:t>
      </w:r>
    </w:p>
    <w:p>
      <w:r>
        <w:rPr>
          <w:b/>
        </w:rPr>
        <w:t>E. 2</w:t>
      </w:r>
    </w:p>
    <w:p>
      <w:r>
        <w:t>a)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dans la mesure où le recourant ne chiffre pas ses conclusions et se limite à contester la quotité retenue en la considérant comme trop élevée, on doit admettre qu’il ne prend aucune conclusion valable sur le fond. Pour ce motif, le recours paraît irrecevable.</w:t>
      </w:r>
    </w:p>
    <w:p>
      <w:r>
        <w:rPr>
          <w:b/>
        </w:rPr>
        <w:t>E. 3</w:t>
      </w:r>
    </w:p>
    <w:p>
      <w:r>
        <w:t>Au demeurant, même recevable, le recours doit être rejeté pour les motifs qui suivent. Le recourant expose que Me X.________, subitement absente pour des raisons de santé, n’avait pas transmis le dossier de la cause à son successeur  Me E.________, ce qui aurait entraîné une augmentation injustifiée du temps de travail de cette dernière. Ce grief est mal fondé puisque tout changement de mandataire implique que le nouveau mandataire soit amené à étudier le dossier. Ce motif ne justifie pas que le montant de l’indemnité octroyé à l’ancien mandataire soit d’emblée revu s’agissant de l’étude du dossier, ce d’autant que celui-ci a présenté une liste d’opérations portant sur 6'020 fr., alors que le premier juge n’a retenu en définitive que 5'810 fr. 40. Par ailleurs, à l’examen du courrier du 14 février 2014 et de la liste des opérations du nouveau mandataire, dont l’indemnité octroyée de 5'324 fr. 95 n’est pas remise en cause en tant que telle par le recourant, il n’apparaît pas que les consultations du nouveau dossier au Tribunal d’arrondissement aient été démesurées par rapport à une consultation qui aurait été faite par une transmission du dossier directement au nouveau mandataire. En effet, la liste d’opérations fait état d’une consultation du dossier au tribunal  en date du 26 février 2014 de 60 minutes, d’une consultation du dossier au tribunal en date du 13 mars 2014 de 90 minutes, soit de deux heures et demie. Il est en outre relevé que le premier mandataire est intervenu entre le 5 juin 2012 et le mois d’août 2013 ; il y a donc un travail fait sur plus d’une année. Le nouveau mandataire est intervenu quant à lui du 12 février 2014 au 5 septembre 2015, soit également pendant plus d’une année. Les indemnités octroyées de respectivement 5'810 fr. 40 et 5'324 fr. 95 sont comparables.</w:t>
      </w:r>
    </w:p>
    <w:p>
      <w:r>
        <w:rPr>
          <w:b/>
        </w:rPr>
        <w:t>E. 4</w:t>
      </w:r>
    </w:p>
    <w:p>
      <w:r>
        <w:t>Il résulte de ce qui précède que le recours, pour autant que recevable, doit être rejeté selon le mode procédural de l’art. 322 al. 1 CPC. Les frais judiciaires de deuxième instance, arrêtés à 100 fr. (art. 69 al. 3 TFJC [tarif des frais judiciaires civils du 28 septembre 2010 ; RSV 270.11.5]), sont mis à la charge du recourant qui succombe (art. 106 al. 1 CPC). Il n’y a pas lieu d’allouer des dépens à l’intimée, dès lors qu’elle n’a pas été invitée à se déterminer. Par ces motifs, la Chambre des recours civile du Tribunal cantonal, en application de l'art. 322 al. 1 CPC, prononce : I. Le recours est rejeté dans la mesure où il est recevable. II. Les frais judiciaires de deuxième instance, arrêtés à 100 fr. (cent francs), sont mis à la charge du recourant S.________. III. L’arrêt motivé est exécutoire. Le président :               La greffière : Du 20 octobre 2015 Le dispositif de l'arrêt qui précède est communiqué par écrit aux intéressés. La greffière : Du L'arrêt qui précède, dont la rédaction a été approuvée à huis clos, est notifié en expédition complète, par l'envoi de photocopies, à : ‑ M. S.________, ‑ 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