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1022 vom 20. November 2015</w:t>
      </w:r>
    </w:p>
    <w:p>
      <w:r>
        <w:t>VD Tribunal cantonal, 2015-11-20, FR</w:t>
      </w:r>
    </w:p>
    <w:p>
      <w:r>
        <w:rPr>
          <w:b/>
        </w:rPr>
        <w:t xml:space="preserve">Quelle: </w:t>
      </w:r>
      <w:r>
        <w:t>https://mcp.opencaselaw.ch/entscheid/vd_findinfo_HC___2015___1022</w:t>
      </w:r>
    </w:p>
    <w:p>
      <w:r>
        <w:t>FR: VD_FINDINFO HC / 2015 / 1022 du 20 novembre 2015</w:t>
      </w:r>
    </w:p>
    <w:p>
      <w:r>
        <w:t>IT: VD_FINDINFO HC / 2015 / 1022 del 20 novembre 2015</w:t>
      </w:r>
    </w:p>
    <w:p>
      <w:pPr>
        <w:pStyle w:val="Heading2"/>
      </w:pPr>
      <w:r>
        <w:t>Regeste</w:t>
      </w:r>
    </w:p>
    <w:p>
      <w:r>
        <w:t>ASSISTANCE JUDICIAIRE, AVOCAT D'OFFICE, INDEMNITÉ{EN GÉNÉRAL} | 122 al. 1 let. a CPC (CH)</w:t>
      </w:r>
    </w:p>
    <w:p>
      <w:pPr>
        <w:pStyle w:val="Heading2"/>
      </w:pPr>
      <w:r>
        <w:t>Erwägungen</w:t>
      </w:r>
    </w:p>
    <w:p>
      <w:r>
        <w:rPr>
          <w:b/>
        </w:rPr>
        <w:t>E. 1</w:t>
      </w:r>
    </w:p>
    <w:p>
      <w:r>
        <w:t>a) La décision arrêtant la rémunération du conseil d’office au sens de l’art. 122 al. 1 let. a CPC (Code de procédure civile suisse du 19 décembre 2008 ; RS 272) est une décision sur frais qui ne peut être attaquée séparément que par un recours au sens de l’art. 110 CPC (Tappy, CPC commenté, 2011, n. 21 ad art. 122 CPC). Lorsque la décision a été rendue en procédure sommaire, par exemple dans le cadre d’une requête d’assistance judiciaire (art. 119 al. 3 CPC), le recours, écrit et motivé, doit être déposé dans un délai de dix jours à compter de la notification (art. 321 al. 2 CPC). En l’espèce, formé en temps utile par une partie qui a un intérêt digne de protection (art. 59 al. 2 let. a CPC), le présent recours est recevable à cet égard. b) Pour pouvoir être déclaré recevable, le recours doit contenir des conclusions en annulation ou au fond (Jeandin, CPC commenté, 2011, n. 5 ad art. 321 CPC), soit l’exposé de ce que la partie veut que le tribunal lui alloue dans sa décision (Tappy, CPC commenté, 2011, n. 11 ad art. 221 CPC ; CREC 11 mai 2012/173). En l’espèce le recourant – qui n’est pas représenté par un mandataire professionnel – n’a pas formulé de conclusions. Toutefois, on comprend à la lecture de son recours qu’il considère que l’indemnité de son conseil d’office doit être réduite à une heure de travail, correspondant à l’entrevue du 8 septembre 2015, au lieu des 3,5 heures retenues par le premier juge. Ainsi, il convient de déclarer le recours recevable en ce qu’il conclut à la réduction de l’indemnité à une heure de travail. Les griefs d’ordre matériel concernant la procédure de divorce, avancés par le recourant, ne sont quant à eux pas recevables s’agissant d’un recours qui se limite à la question des frais (art. 110 CPC) et plus particulièrement de l’indemnité du conseil d’office.</w:t>
      </w:r>
    </w:p>
    <w:p>
      <w:r>
        <w:rPr>
          <w:b/>
        </w:rPr>
        <w:t>E. 2</w:t>
      </w:r>
    </w:p>
    <w:p>
      <w:r>
        <w:t>e éd., 2010, n. 2508).</w:t>
      </w:r>
    </w:p>
    <w:p>
      <w:r>
        <w:rPr>
          <w:b/>
        </w:rPr>
        <w:t>E. 3</w:t>
      </w:r>
    </w:p>
    <w:p>
      <w:r>
        <w:t>a) Le recourant reproche au premier juge d’avoir admis 3,5 heures de travail de la part de l’intimé, quand bien même il n’aurait eu qu’un rendez-vous d’une heure en l’étude de ce dernier, à l’issue duquel il aurait décidé de ne pas faire appel du jugement de divorce du 26 août 2015. L’intimé, pour sa part, avance que l’entretien du 8 septembre a été particulièrement long, car il a impliqué la lecture détaillée du jugement de divorce et la discussion avec le recourant de tous ses considérants. L’intimé estime la durée de l’entretien à deux heures. Ainsi, avec toutes les autres opérations effectuées dans le cadre du mandat d’office (lettres, téléphones), les 3,5 heures retenues seraient tout à fait justifiées. b) Pour fixer la quotité de l’indemnité du conseil d'office, l’autorité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consid. 3b; 117 la 22 consid. 3a; TF 6B_745/2009 du 12 novembre 2009 consid. 10.1). c) En l’espèce, l’intimé a établi, pièces à l’appui, que l’entretien du 8 septembre 2015 avait été particulièrement long et duré près de deux heures, ce qui est du reste corroboré par le courriel du recourant du 9 septembre 2015 adressé à son conseil d’office, dans lequel il fait état de leur « long entretien du 8 septembre 2015 » et duquel il ressort que différentes questions délicates y ont été abordées, notamment l’autorité parentale conjointe, la garde alternée, les relations personnelles (droit de visite), le rôle du curateur et les chances de succès d’un appel. En outre, il ressort de l’échange de courriels du 9 septembre 2015 entre les parties et du présent recours que celles-ci étaient en désaccord quant aux chances de succès d’un appel. Compte tenu de ces éléments, il y a lieu d’admettre les deux heures indiquées à ce titre par l’intimé dans sa liste d’opérations. L’intimé ne s’est toutefois pas déterminé sur le fait que, dans son courrier du 15 juin 2015 adressé à la Présidente, dont copie a été transmise au recourant, il a déclaré renoncer à toute rémunération. Ainsi, le recourant, nonobstant le fait qu’il n’avait dans un premier temps pas réagi aux courriers de son conseil d’office, avant de le contacter spontanément par la suite, pouvait de bonne foi partir de l’idée que les démarches effectuées par celui-ci jusqu’au 15 juin 2015 – même restées sans réaction de sa part – ne seraient pas facturées. Il y a donc lieu de retrancher les opérations effectuées avant cette date, à savoir la lettre du 30 avril 2015 et celle du 11 mai 2015, lesquelles représentent un montant de 36 fr. selon la liste d’opérations de l’intimé. L’appel doit être admis dans cette mesure. L’indemnité de l’intimé doit donc être arrêtée à 594 fr. (630 – 36), montant auquel s’ajoutent les débours par 20 fr. 40 et la TVA sur le tout par 49 fr.20, soit au final à 663 fr. 60, au lieu des 702 fr. 45 retenus par le premier juge.</w:t>
      </w:r>
    </w:p>
    <w:p>
      <w:r>
        <w:rPr>
          <w:b/>
        </w:rPr>
        <w:t>E. 4</w:t>
      </w:r>
    </w:p>
    <w:p>
      <w:r>
        <w:t>Il résulte des considérants qui précèdent que le recours doit être partiellement admis et le prononcé entrepris réformé. Le recourant ne disposant pas de ressources suffisantes et sa cause ne paraissant pas dépourvue de toute chance de succès, il convient de lui accorder l’assistance judiciaire (art. 117 let. a et b CPC) et de l’exonérer des frais judiciaires (art. 118 al. 1 let. b CPC). Le recourant n’obtenant que très partiellement gain de cause, les frais judiciaires de deuxième instance, arrêtés à 100 fr. (art. 69 al. 1 TFJC [tarif des frais judiciaires civils du 28 septembre 2010 ; RSV 270.11.5]), seront mis pour deux tiers, soit par 67 fr., à sa charge et laissés à la charge de l’Etat, et pour un tiers, soit par 33 fr., à la charge de l’intimé (art. 106 al. 2 CPC). Le bénéficiaire de l’assistance judiciaire est tenu, dans la mesure de l’art. 123 CPC, de rembourser les frais laissés à la charge de l’Etat. Il n’y a pas lieu d’allouer de dépens, dès lors que les parties agissent toutes les deux sans mandataire professionnel et dans leur propre cause. Par ces motifs, la Chambre des recours civile du Tribunal cantonal, prononce : I. Le recours est partiellement admis. II. Le prononcé est réformé à son ch. I comme il suit : I. fixe l’indemnité du conseil d’office de C.________, allouée à Me Z.________, à 663 fr. 60 (six cent soixante-trois francs et soixante centimes), débours et TVA inclus, pour la période du 1 er septembre 2015 au 9 septembre 2015. Le prononcé est confirmé pour le surplus. III. La requête d’assistance judiciaire du recourant C.________ est admise. IV. Les frais judiciaires de deuxième instance, arrêtés à 100 fr. (cent francs), sont mis pour 67 fr. (soixante-sept francs) à la charge du recourant C.________ et laissés à la charge de l’Etat, et pour 33 fr. (trente-trois francs) à la charge de l’intimé Z.________. V. Le bénéficiaire de l’assistance judiciaire est tenu, dans la mesure de l’art. 123 CPC, de rembourser les frais laissés à la charge de l’Etat. VI. Il n’est pas alloué de dépens. VII. L’arrêt est exécutoire. Le président :               Le greffier : Du L'arrêt qui précède, dont la rédaction a été approuvée à huis clos, est notifié à : ‑ C.________,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