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1002 vom 18. November 2015</w:t>
      </w:r>
    </w:p>
    <w:p>
      <w:r>
        <w:t>VD Tribunal cantonal, 2015-11-18, FR</w:t>
      </w:r>
    </w:p>
    <w:p>
      <w:r>
        <w:rPr>
          <w:b/>
        </w:rPr>
        <w:t xml:space="preserve">Quelle: </w:t>
      </w:r>
      <w:r>
        <w:t>https://mcp.opencaselaw.ch/entscheid/vd_findinfo_HC___2015___1002</w:t>
      </w:r>
    </w:p>
    <w:p>
      <w:r>
        <w:t>FR: VD_FINDINFO HC / 2015 / 1002 du 18 novembre 2015</w:t>
      </w:r>
    </w:p>
    <w:p>
      <w:r>
        <w:t>IT: VD_FINDINFO HC / 2015 / 1002 del 18 novembre 2015</w:t>
      </w:r>
    </w:p>
    <w:p>
      <w:pPr>
        <w:pStyle w:val="Heading2"/>
      </w:pPr>
      <w:r>
        <w:t>Regeste</w:t>
      </w:r>
    </w:p>
    <w:p>
      <w:r>
        <w:t>OBLIGATION D'ENTRETIEN, REVENU HYPOTHÉTIQUE, PROTECTION DE L'UNION CONJUGALE | 163 al.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2</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Les conditions restrictives posées par l’art. 317 al. 1 CPC pour l’introduction de faits ou de moyens de preuve nouveaux s’appliquent même aux cas régis par la maxime inquisitoire.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b) En l'espèce, l'appelant produit plusieurs recherches d'emploi datées de début septembre 2015. Bien qu'antérieures à l'audience des débats du 17 septembre 2015, ces pièces sont recevables dans la mesure où elles concernent le sort d'enfants mineurs.</w:t>
      </w:r>
    </w:p>
    <w:p>
      <w:r>
        <w:rPr>
          <w:b/>
        </w:rPr>
        <w:t>E. 3.1</w:t>
      </w:r>
    </w:p>
    <w:p>
      <w:r>
        <w:t>L'appelant soutient que le fait d'avoir retrouvé un emploi le 22 juin 2015 n'est pas un fait nouveau et durable justifiant une modification de la dernière ordonnance de mesures protectrices de l'union conjugale du 20 mars 2015, de sorte qu'il ne doit aucune contribution d'entretien déjà sur cette base. Si, par impossible, l'existence d'un fait nouveau et durable devait être admise, il considère que son dernier poste de comptable auprès de L.________Sàrl correspondait tout à fait à sa formation et que ses recherches d'emploi attestent qu'il est disposé à accepter n'importe quel emploi.</w:t>
      </w:r>
    </w:p>
    <w:p>
      <w:r>
        <w:rPr>
          <w:b/>
        </w:rPr>
        <w:t>E. 3.2</w:t>
      </w:r>
    </w:p>
    <w:p>
      <w:r>
        <w:t>a)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sur le tout : TF 5A_153/2013 du 24 juillet 2013 consid. 2.1 et TF 5A_245/2013 du 24 septembre 2013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b) Aux termes de l’art. 176 al. 1 ch. 1 CC, applicable par analogie aux mesures provisionnelles (art. 276 al. 1 CPC), le juge fixe la contribution pécuniaire à verser par l’une des parties à l’autre. La situation du couple séparé, totalement désuni, doit s’apprécier en s’inspirant des principes régissant l’hypothèse d’un divorce (ATF 118 III 65 consid.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 Indépendamment de sa durée, le mariage a eu une influence concrète sur la situation financière de l’époux créancier lorsque le couple a eu des enfants communs (ATF 135 III 59 consid.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 Le juge peut s’écarter du revenu effectif réalisé par les époux et retenir un revenu hypothétique supérieur, pour autant qu'une augmentation correspondante de revenu soit effectivement possible et – cumulativement (ATF 137 III 118 consid. 2.3) – qu'elle puisse raisonnablement être exigée de celui-ci (TF 5A_736/2008 du 30 mars 2009 consid. 4 ; ATF 128 III 4 consid. 4, JdT 2002 I 294 consid.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consid. 4a ; TF 5C.40/2003 du 6 juin 2003 consid. 2.1.1 partiellement paru aux ATF 129 III 577 ; TF 5A_685/2007 du 26 février 2008 consid. 2.3 ; TF 5A_170/2007 du 27 juin 2007 consid. 3.1). Savoir si l'on peut raisonnablement exiger du débiteur une augmentation de son revenu est une question de droit ; en revanche, savoir quel revenu une personne a la possibilité effective de réaliser est une question de fait (ATF 137 III 118 consid. 2.3 ; ATF 128 III 4 précité consid. 4c/bb ; ATF 126 III 10, JdT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consid. 3.2 ; TF 5A_894/2010 du 15 avril 2011 consid.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consid.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 ATF 129 III 417 consid. 2.2 ; ATF 114 II 9 consid. 7b).</w:t>
      </w:r>
    </w:p>
    <w:p>
      <w:r>
        <w:rPr>
          <w:b/>
        </w:rPr>
        <w:t>E. 3.3</w:t>
      </w:r>
    </w:p>
    <w:p>
      <w:r>
        <w:t>En l'espèce, par prononcé du 18 novembre 2014, la jouissance du domicile conjugal et la garde des enfants ont été attribuées au père, la mère devant contribuer à l'entretien des siens par 4'800 francs. Les enfants ont été placés en foyer le 16 janvier 2015. Par prononcé du 15 janvier 2015, le droit de déterminer le lieu de résidence des enfants a été confié au SPJ. Par prononcé du 20 mars 2015, la jouissance du domicile conjugal a été attribuée à la mère et la contribution de 4'800 fr. qu'elle devait a été supprimée avec effet au 1 er janvier 2015. Par convention signée au cours de l'audience du 16 juillet 2015, la mère a accepté la suspension de toute contribution en faveur d’elle-même et des enfants jusqu’au 30 septembre 2015. Enfin, lors de l'audience du 17 septembre 2015, les parties ont convenu que le lieu de résidence des enfants était fixé chez leur mère qui en exercerait la garde de fait, le SJP étant relevé de son mandat de gardien. Au vu de ce dernier élément de fait nouveau et non temporaire, il ne s'agissait donc pas de déterminer une éventuelle contribution d'entretien en fonction du nouvel emploi de l'appelant, mais en premier lieu en considérant le fait que la garde des enfants était désormais confiée à leur mère au lieu du SPJ. Concernant le revenu hypothétique, il est constant que l'appelant est au bénéfice d'un CFC d'employé de commerce. Il est en bonne santé. Il est bilingue français-espagnol et a de bonnes connaissances en anglais, allemand, italien, portugais et chinois. Comme relevé par le premier juge, l'appelant doit chercher un emploi qui requiert des exigences conformes à sa formation d'employé de commerce, soit une activité de type administratif, ce d'autant que l'intéressé a admis, au cours de l'audience du 17 septembre 2015, qu'il visait un peu trop haut dans ses recherches d'emploi. Il ressort en effet des diverses postulations produites que l'appelant a offert ses services en qualité d'« assistant/comptable/RH en fiduciaire », « comptable fiduciaire », « comptable confirmé », « comptable » et « comptable [...]», alors qu'il ne bénéficie d'aucun diplôme ou brevet dans ce domaine. Contrairement à ce que l'appelant affirme, ses recherches d'emploi n'attestent en tout cas pas qu'il est disposé à accepter n'importe quel emploi. L'appelant ne saurait non plus tirer argument de sa dernière activité de comptable, puisqu'il a été licencié durant le temps d'essai précisément parce que son employeur s'est rendu compte qu'il n'avait pas le profil exact pour le poste occupé. Dès lors que l'appelant ne fait à l'évidence pas tout son possible pour retrouver un travail correspondant à sa formation et à ses capacités, le premier juge était fondé à faire application de la théorie du revenu hypothétique. Pour le surplus, l'appelant ne discute pas les revenus et les charges du couple telles que retenues le premier juge.</w:t>
      </w:r>
    </w:p>
    <w:p>
      <w:r>
        <w:rPr>
          <w:b/>
        </w:rPr>
        <w:t>E. 4</w:t>
      </w:r>
    </w:p>
    <w:p>
      <w:r>
        <w:t>Il s'ensuit que l'appel de A.S.________ doit être rejeté selon le mode procédural de l'art. 312 al. 1 CPC et la décision entreprise confirmée. La cause paraissant dépourvue de toute chance de succès, la requête d'assistance judicaire de A.S.________ pour la procédure d'appel doit être rejetée (art. 117 let. b CPC). Les frais judiciaires de deuxième instance, arrêtés à 600 fr. (art. 65 al. 2 TFJC [tarif des frais judiciaires en matière civile du 28 septembre 2010 ; RSV 270.11.5]), sont mis à la charge de l'appelant, qui succombe (art. 106 al. 1 CPC). Il n'est pas alloué de dépens de deuxième instance à l'intimée, dès lors que celle-ci n'a pas été invitée à se déterminer. Par ces motifs, le Juge délégué de la Cour d’appel civile du Tribunal cantonal, statuant en application de l'art. 312 al. 1 CPC, prononce : I. L’appel est rejeté. II. Le prononcé est confirmé. III. La requête d'assistance judiciaire est rejetée. IV. Les frais judiciaires de deuxième instance, arrêtés à 600 fr. (six cents francs), sont mis à la charge de l'appelant. V.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Romain Kramer (pour A.S.________) ‑ Me Amandine Torrent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