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996 vom 19. Dezember 2014</w:t>
      </w:r>
    </w:p>
    <w:p>
      <w:r>
        <w:t>VD Tribunal cantonal, 2014-12-19, FR</w:t>
      </w:r>
    </w:p>
    <w:p>
      <w:r>
        <w:rPr>
          <w:b/>
        </w:rPr>
        <w:t xml:space="preserve">Quelle: </w:t>
      </w:r>
      <w:r>
        <w:t>https://mcp.opencaselaw.ch/entscheid/vd_findinfo_HC___2014___996</w:t>
      </w:r>
    </w:p>
    <w:p>
      <w:r>
        <w:t>FR: VD_FINDINFO HC / 2014 / 996 du 19 décembre 2014</w:t>
      </w:r>
    </w:p>
    <w:p>
      <w:r>
        <w:t>IT: VD_FINDINFO HC / 2014 / 996 del 19 dicembre 2014</w:t>
      </w:r>
    </w:p>
    <w:p>
      <w:pPr>
        <w:pStyle w:val="Heading2"/>
      </w:pPr>
      <w:r>
        <w:t>Regeste</w:t>
      </w:r>
    </w:p>
    <w:p>
      <w:r>
        <w:t>MESURE DE CONTRAINTE{DROIT DES ÉTRANGERS}, RENVOI{DROIT DES ÉTRANGERS}, PROCÈS DEVENU SANS OBJET | 25 al. 1 LVLEtr, 30 LVLEtr, 31 LVLEtr</w:t>
      </w:r>
    </w:p>
    <w:p>
      <w:pPr>
        <w:pStyle w:val="Heading2"/>
      </w:pPr>
      <w:r>
        <w:t>Volltext</w:t>
      </w:r>
    </w:p>
    <w:p>
      <w:r>
        <w:t>Vaud Tribunal cantonal Chambre des recours civile 19.12.2014 HC / 2014 / 996</w:t>
      </w:r>
    </w:p>
    <w:p>
      <w:r>
        <w:t>MESURE DE CONTRAINTE{DROIT DES ÉTRANGERS}, RENVOI{DROIT DES ÉTRANGERS}, PROCÈS DEVENU SANS OBJET | 25 al. 1 LVLEtr, 30 LVLEtr, 31 LVLEtr</w:t>
      </w:r>
    </w:p>
    <w:p>
      <w:r>
        <w:t>TRIBUNAL CANTONAL JY14.046643-142148 446 CHAMBRE DES RECOURS CIVILE _________________________________________ Arrêt du 19 décembre 2014 ________________________ Présidence de               M. WINZAP, président Juges :              Mme Charif Feller et M. Pellet Greffier : M.              Tinguely ***** Art. 25 al. 1, 30 et 31 LVLEtr Statuant à huis clos sur le recours interjeté par Q.________ , alors détenu à l’Etablissement de Favra, à Puplinge, contre l’ordonnance rendue le 24 novembre 2014 par la Juge de paix du district de Lausanne dans la cause le concernant, la Chambre des recours civile du Tribunal cantonal voit : En fait et en droit : 1. Selon l’art. 30 LVLEtr (loi du 18 décembre 2007 d’application dans le Canton de Vaud de la législation fédérale sur les étrangers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2. Par télécopie du 17 décembre 2014, le Service de la population a informé le Tribunal cantonal du fait que le recourant avait quitté la Suisse, le 16 décembre 2014, à destination de Madrid (Espagne). Le recours interjeté le 2 décembre 2014 par Q.________ est dès lors devenu sans objet. Il convient d’en prendre acte et de rayer la cause du rôle. 3. a) Le présent arrêt peut être rendu sans frais judiciaires (art. 50 LPA-VD). b) Il n’y a pas lieu d’allouer de dépens de deuxième instance, aucune des parties ne pouvant être considérée comme succombante au sens de l’art. 55 al. 2 LPA-VD. c)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Xavier Oulevey a annoncé avoir consacré neuf heures et quarante-cinq minutes au dossier. Au vu des difficultés en fait et en droit présentées par la cause, la Chambre estime qu’un maximum de sept heures était suffisant pour assurer une correcte exécution du mandat d’office. Les débours annoncés de 180 fr. 80 peuvent être ramenés à 130 francs, étant précisé que les frais de vacation sont indemnisés à hauteur d’un forfait de 120 fr., qui couvre tant les kilomètres parcourus que le temps du déplacement aller-retour (CREC 26 octobre 2012/382, JT 2013 III 3). Compte tenu d’un tarif horaire de 180 fr. pour les avocats (art. 2 al. 1 let. a RAJ [règlement sur l’assistance judiciaire en matière civile du 7 décembre 2010 ; RSV 211.02.3]), l’indemnité d’office de Me Xavier Oulevey doit ainsi être arrêtée à 1'501 fr. 20, soit 1'260 fr. d’honoraires et 130 fr. de débours, TVA par 111 fr. 20 en sus. Par ces motifs, la Chambre des recours civile du Tribunal cantonal, statuant à huis clos, prononce : I. Le recours est sans objet. II. La cause est rayée du rôle. III. L’indemnité d’office de Me Xavier Oulevey, conseil du recourant, est arrêtée à 1'501 fr. 20 (mille cinq cent un francs et vingt centimes), TVA et débours compris. IV. L’arrêt, rendu sans frais, est exécutoire. Le président :               Le greffier : Du L'arrêt qui précède, dont la rédaction a été approuvée à huis clos, est notifié à : ‑ Me Xavier Oulevey, (pour Q.________) ‑ Service de la population, Secteur départs Le présent arrêt peut faire l'objet d'un recours en matière de droit public devant le Trbunal fédéral au sens des art. 82 ss LTF (loi du 27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