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990 vom 17. Dezember 2014</w:t>
      </w:r>
    </w:p>
    <w:p>
      <w:r>
        <w:t>VD Tribunal cantonal, 2014-12-17, FR</w:t>
      </w:r>
    </w:p>
    <w:p>
      <w:r>
        <w:rPr>
          <w:b/>
        </w:rPr>
        <w:t xml:space="preserve">Quelle: </w:t>
      </w:r>
      <w:r>
        <w:t>https://mcp.opencaselaw.ch/entscheid/vd_findinfo_HC___2014___990</w:t>
      </w:r>
    </w:p>
    <w:p>
      <w:r>
        <w:t>FR: VD_FINDINFO HC / 2014 / 990 du 17 décembre 2014</w:t>
      </w:r>
    </w:p>
    <w:p>
      <w:r>
        <w:t>IT: VD_FINDINFO HC / 2014 / 990 del 17 dicembre 2014</w:t>
      </w:r>
    </w:p>
    <w:p>
      <w:pPr>
        <w:pStyle w:val="Heading2"/>
      </w:pPr>
      <w:r>
        <w:t>Regeste</w:t>
      </w:r>
    </w:p>
    <w:p>
      <w:r>
        <w:t>MESURE PROVISIONNELLE, ACTION EN DIVORCE, AUDITION DE L'ENFANT, DROIT DE GARDE | 314a al. 1 CC, 298 al. 1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non patrimoniales,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L’appelante soutient que le premier juge a violé l’art. 298 CPC en rejetant sa requête tendant à l’audition de l’enfant. a) L’audition des enfants découle directement de l’art. 12 CDE ([Convention des Nations Unies du 20 novembre 1989 relative aux droits de l’enfant ; RS 0.107], cf. ATF 124 III 90). Cette norme conventionnelle ne consacre toutefois pas de prérogatives plus larges que celles résultant de l’art. 314a al. 1 CC (Code civil suisse du 10 décembre 1907 ; RS 210). En vertu de cette disposition, avant d’ordonner une mesure de protection de l’enfant, l’autorité tutélaire ou le tiers nommé à cet effet entend l’enfant personnellement et de manière appropriée, pour autant que son âge ou d’autres motifs importants ne s’opposent pas à l’audition. De même, en application de l’art. 298 al. 1 CPC, les enfants sont entendus personnellement et de manière appropriée par le tribunal ou un tiers nommé à cet effet, pour autant que leur âge ou d’autres justes motifs ne s’y opposent pas.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ou le collaborateur d’un service de protection de la jeunesse (ATF 133 III 553 c. 4 ; ATF 127 III 295 c. 2a/2b et les citations).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(Rumo-Jungo/Bodenmann, Die Anhörung von Kindern in : FamPra.ch 2003 p. 6 ; Breitschmid, Commentaire bâlois, n. 4 ss ad art. 144 aCC). Le Tribunal fédéral a également admis que, lorsque l’enfant a déjà été entendu par un tiers, en général dans le cadre d’une expertise,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 4). L'audition de l'enfant constitue à la fois un droit de participation de celui-ci à la procédure qui le concerne et un moyen pour le juge d'établir les faits (TF 5A_50/2010 du 6 juillet 2010 c. 2.1; ATF 133 III 553 c.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 3.1; Sutter/Freiburghaus, Kommentar zum neuen Scheidungsrecht, 1999, n. 46 ad art. 144 CC; Rumo-Jungo, L'audition des enfants lors du divorce de leurs parents, in SJ 2003 II p. 115 ss, p. 118; cf. aussi Meier, La position des personnes concernées dans les procédures de protection des mineurs et des adultes - Quelques enseignements de la jurisprudence fédérale récente, in RDT 63/2008 p. 399 ss, p. 404). Même si les faits pertinents sont parfaitement établis, l'audition reste un droit personnel de l'enfant sur l'exercice duquel il doit pouvoir s'exprimer; le juge a donc l'obligation d'informer celui-ci de son droit s'il tient à respecter son propre devoir d'audition (Rumo-Jungo, op cit., p. 119). b) En l’espèce, il ne paraît pas que le SPJ se soit occupé en particulier de la problématique de l’attribution du droit de garde et il ne ressort pas de son rapport du 3 mars 2014 qu’il a auditionné l’enfant à ce sujet. On doit dès lors constater que l’enfant n’a pas été entendu et n’a donc pas pu participer à la procédure divisant ses parents en ce qui concerne l’attribution de sa garde. Que le SPJ soit intervenu hors mandat judiciaire pour superviser la prise en charge de l’enfant par le père est à cet égard insuffisant. Il incombait au premier juge d’entendre l’enfant, rien ne justifiant de déléguer cette mesure d’instruction au SPJ. Cela s’imposait d’autant plus que cette mesure avait été expressément requise par l’appelante, que l’intimé ne s’y opposait pas sur le principe et qu’un rapport détaillé du SPJ au sujet des dissensions entre époux s’agissant du droit de garde faisait défaut. On ne saurait dire avec l’intimé que la situation de l’appelante en matière de logement rend inutile l’audition de l’enfant : la position de celui-ci à l’égard de chacun de ses parents et les conditions dans lesquelles la mère pourrait l’accueillir doivent faire l’objet d’une instruction particulière. En ce qui concerne le logement de l’appelante, les allégations de l’intimé ne trouvent appui que dans un rapport du SPJ du 3 mars 2014, établi sans que l’appelante ait été entendue, dans lequel on lit seulement que « A notre connaissance, depuis sa sortie de l’hôpital, cette maman réside chez une connaissance et ne dispose pas d’un logement adéquat pour accueillir son fils dans de bonne conditions ». Ce rapport devrait dès lors être actualisé ou l’appelante interpellée à ce sujet.</w:t>
      </w:r>
    </w:p>
    <w:p>
      <w:r>
        <w:rPr>
          <w:b/>
        </w:rPr>
        <w:t>E. 4</w:t>
      </w:r>
    </w:p>
    <w:p>
      <w:r>
        <w:t>Au vu de ce qui précède, l’appel doit être admis. Dès lors que l’état de fait doit être complété sur des points essentiels (art. 318 al. 1 let. c ch. 1 CPC), l’ordonnance sera annulée et la cause renvoyée au premier juge afin qu’il complète l’instruction dans le sens des considérants, puis statue à nouveau. Les frais judiciaires de deuxième instance, arrêtés à 600 fr. (art. 65 al. 2 TFJC [tarif des frais judiciaires civils du 28 septembre 2010; RSV 270.11.5]), sont mis à la charge de l’intimé qui succombe (art. 106 al. 1 CPC). L'intimé versera à l’appelante des dépens de deuxième instance, arrêtés à 1'000 fr., TVA et débours compris. Il y a enfin lieu de fixer l'indemnité du conseil d'office de l’appelante, Me Nicole, pour le cas où il ne pourrait obtenir le paiement des dépens qui lui ont été alloués. Il ressort de la liste des opérations produite que l’avocat précité a consacré 3h58 à la procédure de recours. Compte tenu de la simplicité de l’argumentation en droit de l’appel, seules 3h00 seront admises. Au vu du tarif horaire de 180 fr. (art. 2 al. 1 let. a RAJ [règlement sur l'assistance judiciaire en matière civile du 7 décembre 2010; RSV 211.02.3]), l'indemnité sera arrêtée à 583 fr. 20, TVA comprise (540 fr. + 43 fr. 20 fr. à titre de TVA [540 x 8%]), avec la précision que les photocopies font partie des frais généraux d’une étude et ne peuvent par conséquent pas être qualifiées de débours.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L’appel est admis. II. L’ordonnance est annulée et la cause est renvoyée à la Présidente du Tribunal d’arrondissement de la Broye et du Nord vaudois pour compléter l’instruction dans le sens des considérants et statuer à nouveau. III. Les frais judiciaires de deuxième instance, arrêtés à 600 fr. (six cents francs), sont mis à la charge de l’intimé A.F.________. IV . L’indemnité d’office de Me Yves Nicole, conseil de l’appelante, est arrêtée à 583 fr. 20 (cinq cent huitante-trois francs et vingt centimes), TVA et débours compris. V. La bénéficiaire de l’assistance judiciaire est, dans la mesure de l’art. 123 CPC, tenue au remboursement de l’indemnité du conseil d’office mise à la charge de l’Etat. VI. L’intimé A.F.________ doit verser à l’appelante M.________ la somme de 1'000 fr. (mille francs) à titre de dépens de deuxième instance. VII. L’arrêt est exécutoire. Le Juge délégué : La greffière : Du L'arrêt qui précède, dont la rédaction a été approuvée à huis clos, est notifié à : ‑ Me Yves Nicole (pour M.________), ‑ Me Robert Fox (pour A.F.________).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