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989 vom 3. Dezember 2014</w:t>
      </w:r>
    </w:p>
    <w:p>
      <w:r>
        <w:t>VD Tribunal cantonal, 2014-12-03, FR</w:t>
      </w:r>
    </w:p>
    <w:p>
      <w:r>
        <w:rPr>
          <w:b/>
        </w:rPr>
        <w:t xml:space="preserve">Quelle: </w:t>
      </w:r>
      <w:r>
        <w:t>https://mcp.opencaselaw.ch/entscheid/vd_findinfo_HC___2014___989</w:t>
      </w:r>
    </w:p>
    <w:p>
      <w:r>
        <w:t>FR: VD_FINDINFO HC / 2014 / 989 du 3 décembre 2014</w:t>
      </w:r>
    </w:p>
    <w:p>
      <w:r>
        <w:t>IT: VD_FINDINFO HC / 2014 / 989 del 3 dicembre 2014</w:t>
      </w:r>
    </w:p>
    <w:p>
      <w:pPr>
        <w:pStyle w:val="Heading2"/>
      </w:pPr>
      <w:r>
        <w:t>Regeste</w:t>
      </w:r>
    </w:p>
    <w:p>
      <w:r>
        <w:t>EXÉCUTION FORCÉE, PROCÈS DEVENU SANS OBJET, BAIL À LOYER | 309 let. a CPC (CH), 319 let. a CPC (CH), 321 al. 2 CPC (CH), 325 CPC (CH)</w:t>
      </w:r>
    </w:p>
    <w:p>
      <w:pPr>
        <w:pStyle w:val="Heading2"/>
      </w:pPr>
      <w:r>
        <w:t>Erwägungen</w:t>
      </w:r>
    </w:p>
    <w:p>
      <w:r>
        <w:rPr>
          <w:b/>
        </w:rPr>
        <w:t>E. 3</w:t>
      </w:r>
    </w:p>
    <w:p>
      <w:r>
        <w:t>L’exécution forcée a eu lieu le 28 novembre 2014.</w:t>
      </w:r>
    </w:p>
    <w:p>
      <w:r>
        <w:rPr>
          <w:b/>
        </w:rPr>
        <w:t>E. 4</w:t>
      </w:r>
    </w:p>
    <w:p>
      <w:r>
        <w:t>a) Aux termes de l’art. 319 let. a CPC (Code de procédure civile du 19 décembre 2008 ; RS 272), en relation avec l'art. 309 let. a CPC, un recours peut être formé contre une décision du tribunal de l'exécution dans les dix jours dès la notification de la décision attaquée (art. 321 al. 2 CPC). Lorsqu’elle est saisie d'un recours contre une décision d'exécution forcée régie en première instance par la procédure sommaire (cf. art. 339 al. 2 CPC), la Chambre des recours civile statue à trois juges (CREC 23 février 2011/4). b) Selon l’art. 59 al. 1 CPC, le tribunal n’entre en matière que sur les demandes et les requêtes qui satisfont aux conditions de recevabilité de l’action. L’une de ces conditions est que le demandeur ou le requérant a un intérêt digne de protection à agir (art. 59 al. 2 let. a CPC). En d’autres termes, celui qui fait valoir une prétention en justice doit démontrer qu’il a un intérêt digne de protection à voir le juge statuer sur celle-ci. L’absence d’un intérêt digne de protection doit être relevée d’office (art. 60 CPC), à tous les stades du procès. Elle entraîne l’irrecevabilité de la demande. Un tel intérêt fait ainsi défaut lorsque la prétention du demandeur a été entre-temps satisfaite ou si l’on ne peut y donner suite. Comme toute condition de recevabilité, l’intérêt doit exister au moment du jugement (Bohnet, CPC commenté, Bâle 2011, nn. 89 et 92 pp. 174 et 175 et les références citées). c) En l’espèce, la recourante conclut à l’admission de sa demande de révision et à l’annulation de la décision d’exécution forcée du 30 octobre 2014. Or, l’exécution forcée a eu lieu le 28 novembre 2014. Le recours interjeté par Q.________ contre la décision rejetant sa demande de révision de la décision d'exécution forcée a par conséquent perdu son objet et doit ainsi être déclaré irrecevable.</w:t>
      </w:r>
    </w:p>
    <w:p>
      <w:r>
        <w:rPr>
          <w:b/>
        </w:rPr>
        <w:t>E. 5</w:t>
      </w:r>
    </w:p>
    <w:p>
      <w:r>
        <w:t>Le présent arrêt peut être rendu sans frais judiciaires (art. 52 al. 1 TFJC [tarif des frais judiciaires civils du 28 septembre 2010, RSV 270.11.5]).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en expédition complète, par l'envoi de photocopies, à : ‑ Mme Q.________, ‑ Me Jean-David Pelot (pour A.________SA).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