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986 vom 10. Oktober 2014</w:t>
      </w:r>
    </w:p>
    <w:p>
      <w:r>
        <w:t>VD Tribunal cantonal, 2014-10-10, FR</w:t>
      </w:r>
    </w:p>
    <w:p>
      <w:r>
        <w:rPr>
          <w:b/>
        </w:rPr>
        <w:t xml:space="preserve">Quelle: </w:t>
      </w:r>
      <w:r>
        <w:t>https://mcp.opencaselaw.ch/entscheid/vd_findinfo_HC___2014___986</w:t>
      </w:r>
    </w:p>
    <w:p>
      <w:r>
        <w:t>FR: VD_FINDINFO HC / 2014 / 986 du 10 octobre 2014</w:t>
      </w:r>
    </w:p>
    <w:p>
      <w:r>
        <w:t>IT: VD_FINDINFO HC / 2014 / 986 del 10 ottobre 2014</w:t>
      </w:r>
    </w:p>
    <w:p>
      <w:pPr>
        <w:pStyle w:val="Heading2"/>
      </w:pPr>
      <w:r>
        <w:t>Regeste</w:t>
      </w:r>
    </w:p>
    <w:p>
      <w:r>
        <w:t>DIVORCE, OBLIGATION D'ENTRETIEN, COURS DE CONVERSION | 129 CC, 286 al. 2 CC</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JT 2010 III 125, spéc. p. 126). En l’espèce, formé en temps utile (art. 311 al. 1 CPC) compte tenu des féries,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porte sur la situation d’un enfant mineur, elle est soumise aux maximes inquisitoire et d’office (art. 296 al. 1 et 3 CPC). Par conséquent, la pièce nouvelle produite par l’appelant (pièce 38) est recevable.</w:t>
      </w:r>
    </w:p>
    <w:p>
      <w:r>
        <w:rPr>
          <w:b/>
        </w:rPr>
        <w:t>E. 3</w:t>
      </w:r>
    </w:p>
    <w:p>
      <w:r>
        <w:t>L’appelant reproche au premier juge d’avoir rejeté ses conclusions en modification du jugement de divorce au motif qu’aucun changement significatif et durable pouvant conduire à une diminution des contributions d’entretien ne serait intervenu depuis le divorce. Selon lui, sa situation financière se serait péjorée depuis 2007 dans la mesure où il ne pourrait plus demander de crédits pour assurer le versement des contributions d’entretien et sa fortune aurait considérablement diminué. a) La modification ou la suppression de la contribution d’entretien de l’enfant, fixée dans un jugement de divorce (cf. art. 286 al. 2 CC [Code civil suisse du 10 décembre 1907 ;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 ATF 120 II 177 c. 3a ; 100 II 76 c.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 289 c. 11.1.1 et les réf.).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 4b ; TF 5C_78/2001 du 24 août 2001 c. 2a, non publié in ATF 127 III 503 ; TF 5A_352/2010 du 29 octobre 2010 c. 5.2, reproduit in FamPra.ch 2011, p. 230). b) En l’espèce, de l’aveu de l’appelant, sa situation financière, en termes de revenus, s’est améliorée depuis 2007. Les résultats des exercices de la société qu’il exploite sont désormais positifs, à hauteur de 43'186 euros en 2012, contrairement à l’exercice 2007 que la société avait bouclé avec une perte à hauteur de 14'455 euros. S’agissant de sa fortune privée, l’appelant a déclaré qu’elle s’élevait à un montant de 616'263 euros en décembre 2013, outre les immeubles qui lui restaient. On ne peut dès lors considérer que la charge que représente le service des pensions lui serait devenu excessivement lourde au sens de la jurisprudence précitée, quand bien même sa fortune aurait diminué depuis 2007. En outre, les contributions d’entretien litigieuses ont été fixées dans le jugement de divorce en fonction du fait que l’appelant tirait de l’exploitation agricole « les revenus nécessaires au paiement de ses obligations alimentaires ». L’évolution défavorable de sa fortune ne saurait être déterminante pour décider d’une modification, dès lors qu’elle n’a pas été prise en compte comme telle dans la fixation des contributions d’entretien. Par ailleurs, l’appelant ne plaide pas qu’il aurait tiré de cette fortune des revenus lui permettant alors de payer les contributions, ce qu’il ne pourrait plus faire en raison de la vente d’une partie de ses biens. Il se contente d’alléguer – sans l’établir – qu’il ne pourrait plus obtenir de prêt pour assurer le versement des contributions. Un prêt n’équivaut cependant pas à un revenu, puisqu’il doit être remboursé. Enfin, on relèvera que les parties ont adopté dans le jugement de divorce une clause selon laquelle les montants fixés à titre de contribution d’entretien pour l’intimée sont fermes et applicables, sans imputation éventuelle des revenus qu’elle pourrait retirer de sa propre activité professionnelle, laquelle ne constitue dès lors pas un motif de modification du jugement de divorce. Ainsi, il convient de retenir, avec le premier juge, qu’au niveau des revenus, la situation financière de l’appelant ne s’est pas détériorée, bien au contraire, de sorte qu’une modification des contributions d’entretien n’est pas justifiée.</w:t>
      </w:r>
    </w:p>
    <w:p>
      <w:r>
        <w:rPr>
          <w:b/>
        </w:rPr>
        <w:t>E. 4</w:t>
      </w:r>
    </w:p>
    <w:p>
      <w:r>
        <w:t>L’appelant fait grief au jugement entrepris de ne pas avoir tenu compte du taux de change défavorable de l’euro par rapport au franc suisse. a) Comme rappelé plus haut, la modification d’une contribution d’entretien suppose la survenance de faits nouveaux importants et durables dans la situation du débirentier ou du parent gardien, qui commandent une réglementation différente.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b) En l’espèce, les parties ont expressément prévu le montant des contributions d’entretien en francs suisses alors que les revenus qui permettaient de les régler étaient en euros. Or, il est notoire qu’un taux de change peut fluctuer au fil des ans. A l’époque de la signature de la convention, les parties savaient que les revenus de l’appelant étaient réalisés en euros et que le taux en question pouvait évoluer en faveur ou en défaveur de l’appelant. Elles n’ont toutefois émis aucune réserve à ce sujet dans le cadre de leur accord. Une modification de ce taux n’est dès lors pas susceptible de constituer un fait nouveau (cf. CACI 15 août 2014/433 c. 3.3), cela d’autant moins que les contributions d’entretien ont été fixées en francs suisses et non en monnaie étrangère, hypothèse où l’évolution du taux de change aurait pu être prise en considération (cf. TF 5A_199/2013 du 30 avril 2013 c. 4.1 ; Meier/Stettler, Droit de la filiation, 5 e éd., 2014, n. 1102).</w:t>
      </w:r>
    </w:p>
    <w:p>
      <w:r>
        <w:rPr>
          <w:b/>
        </w:rPr>
        <w:t>E. 5</w:t>
      </w:r>
    </w:p>
    <w:p>
      <w:r>
        <w:t>Au vu de ce qui précède, l’appel doit être rejeté et le jugement confirmé. Les frais de deuxième instance, arrêtés à 1'200 fr. (art. 63 al. 3 TFJC [Tarif des frais judiciaires civils du 28 septembre 2010]), sont mis à la charge de l’appelant qui succombe (art. 106 al. 1 CPC).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