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983 vom 30. September 2014</w:t>
      </w:r>
    </w:p>
    <w:p>
      <w:r>
        <w:t>VD Tribunal cantonal, 2014-09-30, FR</w:t>
      </w:r>
    </w:p>
    <w:p>
      <w:r>
        <w:rPr>
          <w:b/>
        </w:rPr>
        <w:t xml:space="preserve">Quelle: </w:t>
      </w:r>
      <w:r>
        <w:t>https://mcp.opencaselaw.ch/entscheid/vd_findinfo_HC___2014___983</w:t>
      </w:r>
    </w:p>
    <w:p>
      <w:r>
        <w:t>FR: VD_FINDINFO HC / 2014 / 983 du 30 septembre 2014</w:t>
      </w:r>
    </w:p>
    <w:p>
      <w:r>
        <w:t>IT: VD_FINDINFO HC / 2014 / 983 del 30 settembre 2014</w:t>
      </w:r>
    </w:p>
    <w:p>
      <w:pPr>
        <w:pStyle w:val="Heading2"/>
      </w:pPr>
      <w:r>
        <w:t>Regeste</w:t>
      </w:r>
    </w:p>
    <w:p>
      <w:r>
        <w:t>ABANDON D'EMPLOI | 337d al. 1 CO</w:t>
      </w:r>
    </w:p>
    <w:p>
      <w:pPr>
        <w:pStyle w:val="Heading2"/>
      </w:pPr>
      <w:r>
        <w:t>Erwägungen</w:t>
      </w:r>
    </w:p>
    <w:p>
      <w:r>
        <w:rPr>
          <w:b/>
        </w:rPr>
        <w:t>E. 5</w:t>
      </w:r>
    </w:p>
    <w:p>
      <w:r>
        <w:t>La procédure de conciliation introduite le 26 octobre 2011 par C.________ auprès du Président du Tribunal civil de l’arrondissement de l’Est vaudois n’a pas abouti. Une autorisation de procéder a été délivrée à l’intéressé.</w:t>
      </w:r>
    </w:p>
    <w:p>
      <w:r>
        <w:rPr>
          <w:b/>
        </w:rPr>
        <w:t>E. 6</w:t>
      </w:r>
    </w:p>
    <w:p>
      <w:r>
        <w:t>Par courrier du 7 novembre 2011, N.________ a formellement résilié tout éventuel contrat de travail qui subsisterait et qui prendrait donc fin à l’échéance du congé contractuel de deux mois pour la fin d’un mois, soit au 31 janvier 2012.</w:t>
      </w:r>
    </w:p>
    <w:p>
      <w:r>
        <w:rPr>
          <w:b/>
        </w:rPr>
        <w:t>E. 7</w:t>
      </w:r>
    </w:p>
    <w:p>
      <w:r>
        <w:t>Par demande du 3 février 2012, C.________ a conclu à ce qu’il soit constaté qu’il n’a pas abandonné son poste suite à l’altercation du 27 juin 2011 (II), à ce qu’N.________ lui verse la somme de 48'257 fr. 65 à titre de rémunération salariale avec intérêts à 5 % l’an dès le 15 octobre 2011 (III) et à ce qu’N.________ lui verse un montant qui sera précisé en cours d’instance, équivalant à l’éventuelle pénalité qui lui serait infligée dans le cadre de son droit aux allocations de l’assurance-chômage (IV). Dans sa réponse du 16 avril 2012, N.________ a conclu principalement à ce que C.________ soit débouté des fins de sa demande et, à titre reconventionnel, à ce que C.________ lui verse la somme de 10'800 fr. plus intérêts à 5 % l’an dès le 9 juillet 2011.</w:t>
      </w:r>
    </w:p>
    <w:p>
      <w:r>
        <w:rPr>
          <w:b/>
        </w:rPr>
        <w:t>E. 8</w:t>
      </w:r>
    </w:p>
    <w:p>
      <w:r>
        <w:t>Lors de l’audience d’instruction du 1 er novembre 2012, C.________ a modifié sa conclusion III en ce sens qu’N.________ devait lui verser la somme de 49'819 fr. 65 à titre de rémunération salariale avec intérêts à 5 % l’an dès le 15 octobre 2011 et a retiré sa conclusion IV.</w:t>
      </w:r>
    </w:p>
    <w:p>
      <w:r>
        <w:rPr>
          <w:b/>
        </w:rPr>
        <w:t>E. 9</w:t>
      </w:r>
    </w:p>
    <w:p>
      <w:r>
        <w:t>L’audience de jugement a eu lieu le 14 mars 2013. Le témoin T1.________, majordome, qui travaille toujours pour le compte d’N.________, a été entendu. Il a déclaré que, durant le premier semestre 2011, C.________ avait été mis sous pression par son employeur, accumulant de nombreuses heures de travail supplémentaires. De retour au domicile de l’employeur le 27 juin 2011, C.________ avait refusé toute remarque au sujet de l’incident survenu à Genève, s’était violemment emporté et s’était montré particulièrement grossier. C.________ avait tendu les clés à son patron en lui disant : « si vous savez mieux conduire que moi, voilà les clés ». N.________ avait demandé à C.________ de laisser les clés et la télécommande au majordome et C.________ était parti en ne manifestant aucune intention de revenir. Dans la soirée, sur son conseil, N.________ avait décidé de garder son chauffeur à condition que celui-ci s’excuse. Il avait donc appelé C.________ pour lui dire de revenir et de s’excuser auprès d’N.________. C.________ lui avait répondu qu’il ne voulait pas s’excuser et il était revenu le lendemain sur son lieu de travail à 9h00 pour présenter un certificat médical. Il interprétait la phrase et le geste de C.________ tendant les clés à son employeur en lui disant « si vous savez conduire mieux que moi, voilà les clés » comme la manifestation de la volonté de quitter son emploi. En juillet 2011, N.________ avait loué un minivan en raison de la présence d’amis et également parce que le permis de C.________ était suspendu. C.________ était un bon chauffeur. N.________ était exigeant mais cela était justifié car son employé était bien rémunéré. N.________ ne « maltraitait » pas ses employés. Il n’avait pas eu le sentiment que son employeur avait voulu se débarrasser de C.________. L’audience a été suspendue, puis reprise le 12 septembre 2013. L’audience du 12 septembre 2013 a été renvoyée sur le siège.</w:t>
      </w:r>
    </w:p>
    <w:p>
      <w:r>
        <w:rPr>
          <w:b/>
        </w:rPr>
        <w:t>E. 10</w:t>
      </w:r>
    </w:p>
    <w:p>
      <w:r>
        <w:t>L’audience de jugement a été reprise le 30 janvier 2014. Le témoin T2.________, qui avait travaillé durant huit mois pour N.________ il y a environ cinq ans, a été entendu. Il a déclaré que C.________ était un excellent chauffeur. N.________ était un employeur exigeant qui détestait qu’on lui tienne tête. Tout le personnel travaillant chez N.________ était sous pression car c’était un dictateur qui s’en prenait à son personnel pour des broutilles. Il était colérique. Il avait vu quatre ou cinq départs sans motifs valables. N.________ avait l’habitude qu’on lui obéisse au doigt et à l’œil et il avait plutôt l’habitude de tyranniser son personnel. Il ignorait si C.________ avait décidé de quitter son emploi depuis un certain temps déjà. A son avis, comme C.________ venait de prendre un appartement dans la région, il n’avait pas l’intention de partir et il était bien à sa place. C.________ était chagriné par l’altercation qu’il avait eue avec son employeur. En droit : 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L’appelant prétend qu’il y a constatation inexacte des faits au sujet des circonstances dans lesquelles les parties se sont séparées le 27 juin 2011. Les premiers juges se seraient fondés à tort sur le témoignage indirect de T2.________, selon lequel l’intimé avait été mis sous pression pendant le premier semestre de l’année 2011, que celui-ci était chagriné par l’altercation du 27 juin 2011 et qu’il n’avait pas l’intention de quitter son employeur, venant de prendre un appartement dans la région. L’appelant ne désigne pas le ou les faits particuliers qui auraient été retenus à tort, se bornant à affirmer que l’intimé a abandonné son emploi ce jour-là, appliquant ainsi le droit à sa version des faits sans indiquer en quoi l’état de fait du jugement entrepris aurait été établi de façon inexacte. Dans la partie fait de la décision attaquée, les premiers juges n’ont pas à proprement parler déterminé les faits, puisqu’ils ont exposé la version de chacune des parties et reproduit un résumé de leurs déterminations respectives des 3 février 2012 et 16 avril 2012 (jgt, pp. 4 à 6). C’est en partie droit, en se fondant principalement sur le témoignage T1.________ que l’appelant tient pour seul déterminant, qu’ils ont retenu que, le 27 juin 2011, C.________ avait tendu les clés du véhicule à N.________ en lui déclarant : « si vous savez mieux conduire que moi, voilà les clés » (jgt, p. 12). Ils ont ensuite considéré à juste titre que ce mouvement d’humeur ne pouvait pas être interprété comme un abandon d’emploi. On ne saurait donc leur reprocher de s’être fondés sur le témoignage indirect du dénommé T2.________. 3. a) L’art. 337d al. 1 CO (Code des obligations du 30 mars 1911 ; RS 220)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 ATF 112 Il 41 c. 2). Comme il appartient à l’employeur de prouver que le travailleur a entendu quitter sans délai son emploi, le premier doit, dans les situations peu claires, adresser au second une mise en demeure de reprendre le travail (TF 4C.169/2001 du 22 août 2001 c. 3b/aa et références).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 2.1 ; Streiff/von Kaenel/Rudolph, Arbeitsvertrag, 7 e éd., Zurich 2012, n. 2 ad art. 337d CO, p. 790 ; Carruzzo, op. cit., p. 576). Le Tribunal fédéral a ainsi considéré qu’il n’y avait pas abandon d’emploi dans un cas où un travailleur, sous l’emprise de l’emportement et de la colère à la 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en remettant un certificat d’incapacité de travail et qui, deux jours plus tard, s’était à nouveau présenté chez l’employeur pour exprimer sa volonté de reprendre le travail (Jahrbuch des Schweizerischen Arbeitsrechts [JAR] 2000 p. 227). b) L’appelant soutient qu’un abandon d’emploi se déduit du témoignage du majordome T1.________, qui a déclaré « J’interprète la phrase et le geste de C.________ tendant les clés à son employeur en lui disant "si vous savez conduire mieux que moi, voilà les clés" comme un abandon d’emploi ». En réalité, ce n’est pas à ce témoin d’effectuer une qualification juridique, ce d’autant moins qu’il est lié à l’une des parties. L’appelant invoque encore les pièces 105 (lettre du conseil de l’appelant du 30 juin 2011 à l’intimé) et 106 (extrait internet faisant état d’une offre de services publiée par l’intimé) qui ne permettent en rien de conclure à l’existence d’un abandon d’emploi. L’appelant invoque de plus le témoignage du majordome T1.________, selon lequel, le soir même de l’altercation, l’intimé aurait déclaré au majordome qu’il n’entendait pas revenir. Une telle déclaration, pour autant qu’on puisse la retenir en tant qu’elle émane d’une personne proche de l’appelant, s’avère cependant sans portée pour décider s’il y a eu abandon d’emploi, dès lors qu’elle a pu être émise eu égard à l’incapacité de travail attestée dès le leX.________. L’appelant concède en outre, à juste titre, que la présentation d’un certificat médical constitue un indice en défaveur de la thèse d’un abandon d’emploi, ce d’autant que cet élément a une portée particulière en l’espèce, où deux certificats ont été établis par deux médecins différents. Enfin, on ne saurait exclure que le mouvement d’humeur de l’intimé ait été en relation avec les difficultés de santé qu’il rencontrait depuis mars 2011, comme évoqué par le Dr X.________ dans son rapport du 15 septembre 2011. Dans ces circonstances, il n’y a pas à procéder à l’audition de témoins, dont l’appelant n’indique pas pourquoi ils n’auraient pas pu être entendus en première instance, encore moins à effectuer à une inspection locale, qui aurait pu avoir lieu en première instance et dont on ne voit de toute manière pas l’intérêt. 4. L’appelant fait encore grief aux premiers juges d’avoir refusé de lui allouer un montant de 10'800 fr. correspondant à des frais de location d’un minivan avec chauffeur en juillet 2010 au seul motif qu’il n’y aurait pas eu abandon d’emploi une année plus tard. Il s’agit effectivement d’une rédaction maladroite de l’avant-dernier paragraphe de la page 19 du jugement qui a juxtaposé ces frais et ce motif alors qu’il s’agissait d’exprimer le fait qu’à défaut d’abandon d’emploi, il n’y avait pas à rechercher si l’appelant pouvait prétendre à la réparation d’un dommage y relatif. Dans la suite de ce même paragraphe, les premiers juges ont exposé que, si le montant précité ne devait pas être alloué, c’était parce qu’il n’était pas établi qu’une faute de l’intimé avait été en relation avec un dommage, dès lors que la location d’un minivan avec chauffeur pouvait être due tant à la présence d’amis de l’appelant qu’à un retrait de permis de l’intimé. Il n’y a dès lors pas déni de justice sur ce point. 5. Il s’ensuit que l’appel doit être rejeté dans la procédure de l’art. 312 al. 1 CPC et la décision entreprise confirmée. Les frais judiciaires de deuxième instance, arrêtés à 1'622 fr. (art. 62 al. 1 et 67 al. 3 TFJC [tarif des frais judiciaires en matière civile du 28 septembre 2010 ; RSV 270.11.5]), sont mis à la charge de l’appelant, qui succombe (art. 106 al. 1 CPC). Il n’est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