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978 vom 9. Oktober 2014</w:t>
      </w:r>
    </w:p>
    <w:p>
      <w:r>
        <w:t>VD Tribunal cantonal, 2014-10-09, FR</w:t>
      </w:r>
    </w:p>
    <w:p>
      <w:r>
        <w:rPr>
          <w:b/>
        </w:rPr>
        <w:t xml:space="preserve">Quelle: </w:t>
      </w:r>
      <w:r>
        <w:t>https://mcp.opencaselaw.ch/entscheid/vd_findinfo_HC___2014___978</w:t>
      </w:r>
    </w:p>
    <w:p>
      <w:r>
        <w:t>FR: VD_FINDINFO HC / 2014 / 978 du 9 octobre 2014</w:t>
      </w:r>
    </w:p>
    <w:p>
      <w:r>
        <w:t>IT: VD_FINDINFO HC / 2014 / 978 del 9 ottobre 2014</w:t>
      </w:r>
    </w:p>
    <w:p>
      <w:pPr>
        <w:pStyle w:val="Heading2"/>
      </w:pPr>
      <w:r>
        <w:t>Regeste</w:t>
      </w:r>
    </w:p>
    <w:p>
      <w:r>
        <w:t>BAIL À LOYER, DÉLAI, EXÉCUTION FORCÉE |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(JT 2011 III 44). En l’espèce, déposé en temps utile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w:t>
      </w:r>
    </w:p>
    <w:p>
      <w:r>
        <w:rPr>
          <w:b/>
        </w:rPr>
        <w:t>E. 3</w:t>
      </w:r>
    </w:p>
    <w:p>
      <w:r>
        <w:t>Le recourant se plaint de ce que le premier juge a ordonné l’exécution forcée sans lui avoir au préalable imparti un nouveau délai de départ, conformément à l’arrêt du 4 février 2014 de la Cour d’appel civile. a) Selon l’art. 341 CPC, le tribunal de l’exécution examine d’office le caractère exécutoire de la décision dont l’exécution est requise (al. 1).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b) En l’espèce, il appartenait au premier juge de se conformer à l’arrêt de la Cour d’appel civile, qui posait comme condition préalable à l’exécution forcée de l’ordonnance du 7 novembre 2013 la fixation d’un nouveau délai de départ pour la recourante. Rien ne justifiait qu’un tel délai ne soit pas accordé à la locataire.</w:t>
      </w:r>
    </w:p>
    <w:p>
      <w:r>
        <w:rPr>
          <w:b/>
        </w:rPr>
        <w:t>E. 4</w:t>
      </w:r>
    </w:p>
    <w:p>
      <w:r>
        <w:t>Au vu de ce qui précède, le recours est admis et la décision entreprise annulée, la cause étant renvoyée au juge de paix du district de Lausanne pour qu’il impartisse un nouveau délai de départ à la recourante. Les frais judiciaires de deuxième instance, arrêtés à 400 fr. (art. 69 al. 1 TFJC [Tarif des frais judiciaires civils du 28 septembre 2010 ; RSV 270.11.5]), sont mis à la charge de l’intimée, qui succombe (art. 106 al. 1 CPC). Le fait que celle-ci s’en soit remise à justice n’importe pas (Tappy, CPC commenté, n. 22 ad art. 106 CPC). L’intimée doit en outre verser à la recourante la somme de 300 fr. à titre de dépens de deuxième instance (art. 3 al. 2 et 8 TDC [Tarif des dépens en matière civile du 23 novembre 2010 ; RSV 270.11.6]) et de 400 fr. à titre de restitution d’avance de frais de deuxième instance, soit un montant total de 700 francs. Par ces motifs, la Chambre des recours civile du Tribunal cantonal, statuant à huis clos, prononce : I. Le recours est admis. II. La décision du 12 août 2014 est annulée, la cause étant renvoyée au juge de paix du district de Lausanne pour procéder à nouveau dans le sens des considérants. III. Les frais judiciaires de deuxième instance, arrêtés à 400 fr. (quatre cents francs), sont mis à la charge de l’intimée. IV. L’intimée G.________ doit verser à la recourante W.________ la somme de 700 fr. (sept cents francs) à titre de dépens et de restitution d’avance de frais de deuxième instance. V. L’arrêt motivé est exécutoire. Le président :               Le greffier : Du</w:t>
      </w:r>
    </w:p>
    <w:p>
      <w:r>
        <w:rPr>
          <w:b/>
        </w:rPr>
        <w:t>E. 9</w:t>
      </w:r>
    </w:p>
    <w:p>
      <w:r>
        <w:t>octobre 2014 Le dispositif de l’arrêt qui précède est communiqué par écrit aux intéressés. Le greffier : Du L'arrêt qui précède, dont la rédaction a été approuvée à huis clos, est notifié à : ‑ M. Julien Greub, aab (pour W.________), ‑ Mme Martine Schlaeppi, aab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