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973 vom 6. November 2014</w:t>
      </w:r>
    </w:p>
    <w:p>
      <w:r>
        <w:t>VD Tribunal cantonal, 2014-11-06, FR</w:t>
      </w:r>
    </w:p>
    <w:p>
      <w:r>
        <w:rPr>
          <w:b/>
        </w:rPr>
        <w:t xml:space="preserve">Quelle: </w:t>
      </w:r>
      <w:r>
        <w:t>https://mcp.opencaselaw.ch/entscheid/vd_findinfo_HC___2014___973</w:t>
      </w:r>
    </w:p>
    <w:p>
      <w:r>
        <w:t>FR: VD_FINDINFO HC / 2014 / 973 du 6 novembre 2014</w:t>
      </w:r>
    </w:p>
    <w:p>
      <w:r>
        <w:t>IT: VD_FINDINFO HC / 2014 / 973 del 6 novembre 2014</w:t>
      </w:r>
    </w:p>
    <w:p>
      <w:pPr>
        <w:pStyle w:val="Heading2"/>
      </w:pPr>
      <w:r>
        <w:t>Regeste</w:t>
      </w:r>
    </w:p>
    <w:p>
      <w:r>
        <w:t>MOTIVATION DE LA DEMANDE, DÉCISION D'IRRECEVABILITÉ, CONCLUSIONS | 311 al. 1 CPC (CH)</w:t>
      </w:r>
    </w:p>
    <w:p>
      <w:pPr>
        <w:pStyle w:val="Heading2"/>
      </w:pPr>
      <w:r>
        <w:t>Volltext</w:t>
      </w:r>
    </w:p>
    <w:p>
      <w:r>
        <w:t>Vaud Tribunal cantonal Cour d'appel civile 06.11.2014 HC / 2014 / 973</w:t>
      </w:r>
    </w:p>
    <w:p>
      <w:r>
        <w:t>MOTIVATION DE LA DEMANDE, DÉCISION D'IRRECEVABILITÉ, CONCLUSIONS | 311 al. 1 CPC (CH)</w:t>
      </w:r>
    </w:p>
    <w:p>
      <w:r>
        <w:t>TRIBUNAL CANTONAL JP14.017837-141961 576 JUGE DELEGUEE DE LA cour d’appel CIVILE __________________________________________________________ Arrêt du 6 novembre 2014 __________________ Présidence de              Mme COURBAT , juge déléguée Greffière :              Mme Vuagniaux ***** Art. 311 al. 1 CPC Statuant à huis clos sur l’appel interjeté par L.________ , à Aigle, intimé, contre l’ordonnance de mesures provisionnelles rendue le 22 octobre 2014 par la Présidente du Tribunal civil de l’arrondissement de l’Est vaudois dans la cause divisant l’appelant d’avec P.________ , requérante, la Juge déléguée de la Cour d’appel civile du Tribunal cantonal voit : En fait et en droit : 1. Par ordonnance de mesures provisionnelles du 22 octobre 2014, la Présidente du Tribunal civil de l’arrondissement de l’Est vaudois a constaté que la conclusion I prise à titre provisionnel par P.________ dans sa requête du 30 avril 2014 est devenue sans objet (I), interdit à L.________ d’afficher tous textes ou extraits de textes sur son habitation sise [...], sous la menace de la peine d’amende prévue par l’article 292 CP qui réprime l’insoumission à une décision de l’autorité et au sens duquel celui qui ne se sera pas conformé à une décision qui lui est signifiée par une autorité ou un fonctionnaire compétents sera puni d’une amende (II), imparti à P.________ un délai au 31 octobre 2014 pour ouvrir action au fond (III), arrêté les frais et dépens (IV à VI) et rejeté toutes autres ou plus amples conclusions (VII). 2. Par acte non daté, envoyé par pli recommandé le 1 er novembre 2014, L.________ a déposé un « recours » contre cette ordonnance. 3.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l’appel a été formé en temps utile par une partie qui a un intérêt digne de protection (art. 59 al. 2 let. a CPC). 4. a) Selon l’art. 311 al. 1 CPC, l’appel doit être motivé.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A défaut de motivation suffisante, l’appel est irrecevable (TF 4A_651/2012 du 7 février 2013 c. 4.2). L’acte d’appel doit également contenir des conclusions, soit indiquer dans quelle mesure la décision attaquée doit être modifiée ou annulée. Les conclusions doivent être rédigées d’une manière suffisamment précise pour pouvoir être reprises telles quelles dans le dispositif de la décision à rendre. Il n'appartient pas à l'instance d'appel de fixer un délai à l'appelant pour faire préciser ses conclusions si celles-ci ne sont pas suffisamment précises : l'art. 132 al. 1 et 2 CPC ne s'applique pas dans une telle situation (ATF 137 III 617, rés. in SJ 2012 I 373, RSPC 2012 p. 221). b) En l’espèce, l’acte de l’appelant est incompréhensible. On ne saisit pas les griefs à l’encontre de la décision de première instance et dans quelle mesure celle-ci devrait être modifiée ou annulée. L’acte d’appel ne comporte en outre aucune conclusion clairement énoncée pouvant être reprise dans le dispositif à rendre. Le défaut de motivation et de conclusions valables affectant l’appel de façon irréparable, il n’y a pas lieu de fixer un délai à l’appelant pour remédier à ces vices de procédure. 5. Au vu de ce qui précède, l’appel doit être déclaré irrecevable selon la procédure de l’art. 312 al. 1 CPC. L’arrêt peut être rendu sans frais (art. 11 TFJC [tarif des frais judiciaires civils du 28 septembre 2010 ; RSV 270. 11.5]). Par ces motifs, la Juge déléguée de la Cour d’appel civile du Tribunal cantonal, statuant à huis clos, prononce : I. L’appel est irrecevable. II. L’arrêt, rendu sans frais, est exécutoire. La juge déléguée : La greffière : Du L'arrêt qui précède, dont la rédaction a été approuvée à huis clos, est notifié à : ‑ M. L.________ ‑ Me Luc del Rizzo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