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97 vom 4. Dezember 2013</w:t>
      </w:r>
    </w:p>
    <w:p>
      <w:r>
        <w:t>VD Tribunal cantonal, 2013-12-04, FR</w:t>
      </w:r>
    </w:p>
    <w:p>
      <w:r>
        <w:rPr>
          <w:b/>
        </w:rPr>
        <w:t xml:space="preserve">Quelle: </w:t>
      </w:r>
      <w:r>
        <w:t>https://mcp.opencaselaw.ch/entscheid/vd_findinfo_HC___2014___97</w:t>
      </w:r>
    </w:p>
    <w:p>
      <w:r>
        <w:t>FR: VD_FINDINFO HC / 2014 / 97 du 4 décembre 2013</w:t>
      </w:r>
    </w:p>
    <w:p>
      <w:r>
        <w:t>IT: VD_FINDINFO HC / 2014 / 97 del 4 dicembre 2013</w:t>
      </w:r>
    </w:p>
    <w:p>
      <w:pPr>
        <w:pStyle w:val="Heading2"/>
      </w:pPr>
      <w:r>
        <w:t>Regeste</w:t>
      </w:r>
    </w:p>
    <w:p>
      <w:r>
        <w:t>MANDAT, RÉMUNÉRATION SELON LES PRESTATIONS, COMPTABILITÉ COMMERCIALE | 319 let. a CPC (CH), 320 CPC (CH)</w:t>
      </w:r>
    </w:p>
    <w:p>
      <w:pPr>
        <w:pStyle w:val="Heading2"/>
      </w:pPr>
      <w:r>
        <w:t>Erwägungen</w:t>
      </w:r>
    </w:p>
    <w:p>
      <w:r>
        <w:rPr>
          <w:b/>
        </w:rPr>
        <w:t>E. 1</w:t>
      </w:r>
    </w:p>
    <w:p>
      <w:r>
        <w:t>Le recours de l'art. 319 let. a CPC (Code de procédure civile du 19 décembre 2008; RS 272) est ouvert notamment contre les décisions finales de première instance qui ne peuvent pas faire l'objet d'un appel. Tel est le cas en l'espèce, s'agissant d’un jugement rendu dans une affaire patrimoniale dont la valeur litigieuse est inférieure à 10'000 francs. Déposé en temps utile par une partie qui y a un intérêt et respectant les autres exigences formelles (art. 321 al. 1 CPC), le recours est recevable.</w:t>
      </w:r>
    </w:p>
    <w:p>
      <w:r>
        <w:rPr>
          <w:b/>
        </w:rPr>
        <w:t>E. 2</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(HohI, Procédure civile, tome Il, 2 e éd., Berne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Les conclusions, les allégations de faits et les preuves nouvelles sont irrecevables en procédure de recours (art. 326 al. 1 CPC). En l’espèce, la pièce produite par l’intimée figure déjà au dossier et est donc recevable.</w:t>
      </w:r>
    </w:p>
    <w:p>
      <w:r>
        <w:rPr>
          <w:b/>
        </w:rPr>
        <w:t>E. 3</w:t>
      </w:r>
    </w:p>
    <w:p>
      <w:r>
        <w:t>a) Le litige divisant les parties porte sur la quotité de la rémunération de la recourante pour ses prestations relatives à l’établissement de la comptabilité de l’entreprise individuelle de l’intimée pour la période comptable 2008-2009. A cet égard, la recourante indique avoir consacré 77.25 heures à l’exécution de son mandat, au tarif horaire de 100 fr. de l’heure, hors taxe. Elle conteste avoir facturé pour la période comptable en cause des opérations relatives à la période précédente 2007-2008, comme retenu dans la décision attaquée. Elle invoque en outre l’avis de l’expert, selon lequel, s’agissant du nombre d’heures, " la quantité est correcte ", le tarif horaire étant quant à lui " tout à fait raisonnable ". En définitive, elle prétend au versement d’un montant réduit à 7'999 fr. 95 pour rester dans la compétence du juge de paix. b) Il n’est pas litigieux que les parties sont convenues d’une rémunération forfaitaire de 2’000 fr. pour l’établissement de la comptabilité de l’exercice 2007-2008. En particulier, à l’audience de jugement du 14 juin 2012, les parties ont déclaré reconnaître " que le forfait pour l’année comptable s’écoulant du 1 er octobre 2007 au 30 septembre 2008 arrêté à fr. 2'000.- hors taxe a été payé sous forme d’acomptes mensuels par R.________ " (cf. p.-v. de dite audience). Ces acomptes s’étaient élevés à 179 fr. 30, à savoir un douzième de 2’000 fr. plus TVA. L’exercice comptable suivant a couru du 1 er octobre 2008 au 30 septembre 2009. Compte tenu de la masse de travail, parties sont convenues de changer de mode de rémunération dès le 1 er octobre 2008 et se sont accordées sur une rémunération horaire de 100 francs. A la résiliation de son mandat, la recourante a établi une facture du 27 janvier 2010 d’un montant de 7’725 fr. plus TVA correspondant à 77.25 heures de travail au tarif horaire de 100 fr./h, en indiquant qu’elle concernait " l’année 2007-2008 ". On doit admettre que cette indication est erronée, puisque l’année comptable 2007-2008 avait fait l’objet d’une rémunération forfaitaire. D’ailleurs, à l’audience préliminaire du 1 er avril 2011, la recourante a précisé " que les travaux facturés portaient sur la période 2008-2009 et non pas 2007-2008 ". A cette même audience préliminaire, la recourante a produit un document intitulé " Détail des travaux effectués ", faisant figurer date, désignation du travail et temps effectué du 20 novembre 2008 au 10 mai 2010. Comme l’a constaté le premier juge, les opérations comprises dans cette pièce concernent les deux exercices comptables en cause. Toutefois, si l’on s’en tient au détail des travaux effectués, on voit que toutes les écritures sont postérieures au 20 novembre 2008; sous réserve d’une écriture, la première, elles sont toutes datées de 2009-2010. Or, dès cette époque, c’est le nouveau système de rémunération qui s’applique. Peu importe dès lors que certaines opérations concernent le précédent exercice comptable 2007-2008. Il n’est pas rare en effet pour un comptable de reprendre des éléments d’une année antérieure pour établir une comptabilité portant sur un exercice postérieur; c’est le cas, par exemple, des actifs transitoires ou des passifs transitoires. Cela étant, le jugement attaqué est erroné lorsqu’il retient que les opérations qui concernent l’année comptable 2007-2008 mais qui sont parvenues à la connaissance de la recourante après la clôture de l’exercice comptable 2007-2008 devaient être englobées dans la rémunération forfaitaire convenue par les parties. Une telle appréciation fait fi de la réalité comptable. Il est notoire que l’exercice comptable s’ouvre et se boucle en début et en fin d’année civile. Il est notoire aussi qu’après le bouclement de l’exercice des créances ou des dettes apparaissent et concernent l’exercice comptable bouclé. Il est évidemment hors de question de "rouvrir" l’exercice clôturé. Le comptable crée alors un compte transitoire. L’intimée a d’ailleurs reconnu le bien-fondé de la facturation du 27 janvier 2010 puisqu’elle a déclaré dans sa lettre du 25 août 2010 qu’elle y donnerait suite. De son côté, l’expert qui a été amené à contrôler le travail de comptabilité de la recourante a considéré dans son rapport du 9 janvier 2012 que le nombre de 77.25 heures de travail consacrées par l’intéressée à l’exécution son mandat était justifié et que le tarif de la rémunération horaire pratiqué était en dessous du tarif horaire usuellement appliqué. c) Au vu de ce qui précède, il convient de constater que les prétentions de la recourante en paiement de 77.25 heures de travail effectuées pour la tenue de la comptabilité de l’intimée au tarif de 100 fr./h, plus TVA, sont établies, de sorte qu’il y a lieu de lui allouer ses conclusions à hauteur de 7'999 fr. 95. L’intérêt moratoire de 5% l’an sur ce montant court dès l’interpellation de l’intimée par la recourante, soit dès le 25 août 2010 (art. 102 et 104 CO [Code des obligations du 30 mars 1911; RS 220]). Partant, l’opposition formée au commandement de payer n° [...] de l’Office des poursuites du district de Nyon doit être définitivement levée dans cette mesure.</w:t>
      </w:r>
    </w:p>
    <w:p>
      <w:r>
        <w:rPr>
          <w:b/>
        </w:rPr>
        <w:t>E. 4</w:t>
      </w:r>
    </w:p>
    <w:p>
      <w:r>
        <w:t>En définitive, le recours doit être admis et il y a lieu de statuer à nouveau dans le sens des considérants précédents. Les frais judiciaires de première instance sont arrêtés à 2'760 fr. pour la demanderesse et à 600 fr. pour la défenderesse. Obtenant en fin de compte gain de cause, la demanderesse a droit à des dépens de première instance, qu'il convient de fixer à 3’960 fr., savoir 2’760 francs en remboursement de ses frais de justice et 1'200 fr. à titre de participation aux honoraires de son mandataire, à la charge de la défenderesse. Les frais judiciaires de deuxième instance, arrêtés à 200 fr. (art. 69 al. 1 et 70 al. 1 TFJC [tarif des frais judiciaires civils du 28 septembre 2010; RSV 270.11.5]), sont mis à la charge de l’intimée qui succombe (art. 106 al. 1 CPC). Celle-ci doit par conséquent verser à la recourante la somme de 800 fr. à titre de restitution d'avance de frais de deuxième instance, par 200 fr., et de dépens de deuxième instance, par 600 fr. (art. 2, 3 et 8 TDC [tarif des dépens en matière civile du 23 novembre 2010; RSV 270.11.6]). Par ces motifs, la Chambre des recours civile du Tribunal cantonal, statuant à huis clos, prononce : I. Le recours est admis. II. Il est statué à nouveau comme il suit : I. La partie défenderesse R.________ doit verser à la partie demanderesse N.________ Sàrl la somme de 7’999 fr. 95 (sept mille neuf cent nonante-neuf francs et nonante-cinq centimes) plus intérêt à 5 % l’an dès le 25 août 2010. Il. L’opposition formée au commandement de payer n° [...] de l’Office des poursuites du district de Nyon est définitivement levée dans la mesure indiquée sous chiffre I ci-dessus. III. Les frais de justice de la partie demanderesse sont arrêtés à 2'760 fr. (deux mille sept cent soixante francs) et ceux de la partie défenderesse à 600 fr. (six cents francs). IV. La partie défenderesse versera à la partie demanderesse la somme de 3’960 fr. (trois mille neuf cent soixante francs), à savoir : - 2’760 fr. (deux mille sept cent soixante francs) en remboursement de ses frais de justice. - 1’200 fr. (mille deux cents francs) à titre de participation aux honoraires de son mandataire. III. Les frais judiciaires de deuxième instance, arrêtés à 200 fr. (deux cents francs), sont mis à la charge de l’intimée R.________. IV. L’intimée R.________ doit verser à la recourante N.________ Sàrl la somme de 800 fr. (huit cents francs) à titre de dépens et de restitution d’avance de frais de deuxième instance. V. L’arrêt motivé est exécutoire. Le président :               Le greffier : Du</w:t>
      </w:r>
    </w:p>
    <w:p>
      <w:r>
        <w:rPr>
          <w:b/>
        </w:rPr>
        <w:t>E. 6</w:t>
      </w:r>
    </w:p>
    <w:p>
      <w:r>
        <w:t>décembre 2013 Le dispositif de l'arrêt qui précède est communiqué par écrit aux intéressés. Le greffier : Du L'arrêt qui précède, dont la rédaction a été approuvée à huis clos, est notifié en expédition complète, par l'envoi de photocopies, à : ‑ Thierry Zumbach, aab (pour N.________ Sàrl), ‑ R.________. La Chambre des recours civile considère que la valeur litigieuse est de 4'987 fr. 15.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