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968 vom 2. Dezember 2014</w:t>
      </w:r>
    </w:p>
    <w:p>
      <w:r>
        <w:t>VD Tribunal cantonal, 2014-12-02, FR</w:t>
      </w:r>
    </w:p>
    <w:p>
      <w:r>
        <w:rPr>
          <w:b/>
        </w:rPr>
        <w:t xml:space="preserve">Quelle: </w:t>
      </w:r>
      <w:r>
        <w:t>https://mcp.opencaselaw.ch/entscheid/vd_findinfo_HC___2014___968</w:t>
      </w:r>
    </w:p>
    <w:p>
      <w:r>
        <w:t>FR: VD_FINDINFO HC / 2014 / 968 du 2 décembre 2014</w:t>
      </w:r>
    </w:p>
    <w:p>
      <w:r>
        <w:t>IT: VD_FINDINFO HC / 2014 / 968 del 2 dicembre 2014</w:t>
      </w:r>
    </w:p>
    <w:p>
      <w:pPr>
        <w:pStyle w:val="Heading2"/>
      </w:pPr>
      <w:r>
        <w:t>Regeste</w:t>
      </w:r>
    </w:p>
    <w:p>
      <w:r>
        <w:t>PROTECTION DE L'UNION CONJUGALE, RELATIONS PERSONNELLES, VISITE, BIENS DE L'ENFANT, INTÉRÊT DE L'ENFANT | 176 al. 3 CC, 273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provisionnelles étant régies par la procédure sommaire, selon l'art. 271 CPC, le délai pour l'introduction de l'appel est de dix jours (art. 314 al. 1 CPC). L'appel relève de la compétence d'un juge unique (art. 84 al. 2 LOJV [loi d’organisation judiciaire du 12 décembre 1979, RSV 173.01]). Les ordonnances de mesures protectrices de l’union conjugale étant régies par la procédure sommaire (art. 271 CPC), le délai pour l’introduction de l’appel est de dix jours (art. 314 al. 1 CPC). En l’espèce, interjetés en temps utile par des parties qui y ont un intérêt (art. 59 al. 2 let. a CPC), dans un litige à caractère non patrimonial, les appels sont recevables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w:t>
      </w:r>
    </w:p>
    <w:p>
      <w:r>
        <w:rPr>
          <w:b/>
        </w:rPr>
        <w:t>E. 2.2</w:t>
      </w:r>
    </w:p>
    <w:p>
      <w:r>
        <w:t>En l'espèce, dès lors que le litige porte sur le sort des enfants mineurs, il est régi par la maxime inquisitoire illimitée de l'art. 296 CPC (Hohl, Procédure civile, tome II, 2 e éd., Berne 2010, nn. 1166 ss et 2414 ss). Les pièces nouvelles produites par l'appelant seront ainsi prises en considération, dans la mesure de leur utilité. Appel de B.W.________</w:t>
      </w:r>
    </w:p>
    <w:p>
      <w:r>
        <w:rPr>
          <w:b/>
        </w:rPr>
        <w:t>E. 3</w:t>
      </w:r>
    </w:p>
    <w:p>
      <w:r>
        <w:t>L'appelant reproche au premier juge d'avoir fixé un libre et large droit de visite s'exerçant, à défaut d'accord entre les parties, un mercredi sur deux de 12h30 au jeudi matin à la reprise de l'école ainsi qu'un mardi sur deux, de la sortie de l'école au mercredi matin. Il soutient que droit de visite ainsi défini serait contraire à l'intérêt des enfants, l'intimée ne respectant pas les horaires de visite ni ceux des activités extra-scolaires, d'une part, et le rythme des visites se révélant "être une source supplémentaire de fatigue pour les enfants, déjà perturbés par la séparation litigieuse", d'autre part. L'appelant reproche également au premier juge d'avoir tenu compte des souhaits exprimés par les enfants, âgés respectivement de 9 et 12 ans au moment de leur audition, leurs avis n'étant selon lui pas déterminants pour décider du droit de visite. Enfin, l'appelant fait valoir que les modalités du droit de visite seraient inapplicables, l'intimée travaillant les mardis soirs.</w:t>
      </w:r>
    </w:p>
    <w:p>
      <w:r>
        <w:rPr>
          <w:b/>
        </w:rPr>
        <w:t>E. 3.1</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Chaix, Commentaire romand, Code civil I, Bâle 2010, n. 20 ad art. 176 CC; TF 5A_826/2009 du 22 mars 2010 c. 2.1). Pour prendre une telle décision, le juge dispose d’un large pouvoir d’appréciation au sens de l’art.</w:t>
      </w:r>
    </w:p>
    <w:p>
      <w:r>
        <w:rPr>
          <w:b/>
        </w:rPr>
        <w:t>E. 3.2</w:t>
      </w:r>
    </w:p>
    <w:p>
      <w:r>
        <w:t>En l'espèce, l'appelant n'apporte aucun élément susceptible d'étayer la thèse selon laquelle l'exercice du large droit de visite tel que fixé par le premier juge porterait atteinte à l'intérêt des enfants. En particulier, l'argument tiré de la fatigue de ces derniers ne trouve aucun appui dans le dossier, pas plus que les prétendus manquements de l'intimée dans le respect des horaires de visite et des activités des enfants. En outre, on ne discerne pas pour quelle raison le fait de voir leur mère un soir (voire un après-midi) de plus par semaine serait de nature à nuire aux enfants, qui ont au contraire clairement exprimé le souhait de partager davantage de temps avec elle. Au-delà de l'avis des enfants, il est par ailleurs constant que le développement des relations personnelles avec l’intimée – en l'absence de toute contre-indication, qu'elle soit personnelle ou organisationnelle – est bénéfique pour ces derniers. Enfin, sans juger de la pertinence d’un tel procédé, on ne saurait déduire des extraits des agendas scolaires de C.________ et d'E.________, produits par l'appelant à l'audience du 2 décembre 2014, que l'exercice du droit de visite de l'intimée aurait une quelconque influence sur la péjoration des résultats scolaires de ces derniers, fût-elle établie. C'est le lieu de relever que si les enfants souffrent sans aucun doute de la séparation, il est vivement recommandé que les parties s'efforcent de renouer le dialogue, faute de quoi la situation sera d'autant plus dommageable, principalement pour les enfants. Les deux avis généraux produits par l'appelant à l'audience du 2 décembre 2014 (pièces nouvelles 3 et 4) ne font que confirmer ce qui précède, à savoir que la mésentente parentale tend à accroître les difficultés des enfants de parents séparés. En l'occurrence, il apparaît que l'intimée est pleinement investie dans son rôle de mère et dispose de capacités parentales évidentes. Elle est en outre disponible tous les mercredis, puisqu'elle a spécialement aménagé ses horaires professionnels de façon à ne pas travailler ce jour-là, ni le jeudi matin, afin d’être entièrement libre pour s'occuper des enfants. L’appelant a par ailleurs confirmé lors de l’audience du 2 décembre 2014 qu’il n’avait pas de problème avec le fait que les enfants côtoient le nouveau compagnon de l’intimée. Il a en outre ajouté qu’il ne serait pas opposé à ce que l’intimée profite davantage du système du libre et large droit de visite, à fixer d’entente avec lui; dans ce contexte, on discerne mal pourquoi l’élargissement à un soir/après-midi de plus par semaine poserait véritablement problème. Dans ces circonstances et à défaut de tout élément qui justifierait que le droit de visite de l’intimée s’exerce de façon plus restreinte, on ne peut que confirmer l'appréciation du premier juge, selon laquelle il est dans l'intérêt des enfants que ce droit s'exerce – à défaut d’entente entre les parties – au minimum un week-end sur deux, la moitié des vacances scolaires ainsi qu'un jour par semaine, de la sortie de l'école au lendemain matin. Les modalités précises de ce droit de visite seront examinées ci-dessous, dans le cadre de l'appel de l'intimée. Partant, l’appel de B.W.________ doit être rejeté. Appel de A.W.________</w:t>
      </w:r>
    </w:p>
    <w:p>
      <w:r>
        <w:rPr>
          <w:b/>
        </w:rPr>
        <w:t>E. 4</w:t>
      </w:r>
    </w:p>
    <w:p>
      <w:r>
        <w:t>L'appelante fait valoir qu'elle avait requis un élargissement du droit de visite à tous les mercredis – et non à un autre soir – car elle travaille chaque soir, excepté le vendredi soir et le mercredi, jour durant lequel elle a entièrement congé. Elle requiert ainsi que les modalités du droit de visite telles que fixées dans le prononcé entrepris soient modifiées, en ce sens que le droit de visite s'exerce chaque mercredi, de 12 heures au jeudi matin. Il convient d’admettre les conclusions de l'appelante sur ce point. En effet, il est dans l'intérêt des enfants de passer davantage de temps avec leur mère (cf. c. 3 ci-dessus), tout en bénéficiant de la régularité et de la simplicité qu'offrirait un tel système. Un droit de visite de l'intimée s’exerçant chaque mercredi après-midi jusqu’au jeudi matin permettra de plus aux enfants de gagner en stabilité et d'effectuer, sous la responsabilité de leur mère, tant les loisirs du mercredi après-midi que les devoirs scolaires. En outre, le droit de visite ainsi défini correspond aux dernières revendications de l'intimé, qui a relevé l'inapplicabilité du droit de visite du mardi soir (cf. appel let. B) et a déclaré que le droit de visite du mercredi à 18 heures (convenu lors de l'audience du 23 juin 2014) posait en particulier problème du point de vue organisationnel, du fait que les enfants se rendaient chez leur mère sans avoir pu terminer leurs devoirs (cf. courrier du 3 novembre 2014). S’agissant du début du droit de visite du mercredi après-midi, le premier juge l’avait fixé à 12h30. L’appelante n’ayant pas établi pour quelles raisons ce droit de visite devrait débuter plus tôt, soit à 12h, l’horaire de 12h30 sera confirmé.</w:t>
      </w:r>
    </w:p>
    <w:p>
      <w:r>
        <w:rPr>
          <w:b/>
        </w:rPr>
        <w:t>E. 5</w:t>
      </w:r>
    </w:p>
    <w:p>
      <w:r>
        <w:t>a) Au vu de ce qui précède, l’appel de B.W.________ doit être rejeté, l'appel de A.W.________ admis et le chiffre I du prononcé de mesures protectrices de l'union conjugale du 16 avril 2014 réformé en ce sens que A.W.________ bénéficiera d’un libre et large droit de visite sur les enfants, à convenir d’entente avec B.W.________, ou, à défaut d'accord entre les parties, au minimum un week-end sur deux, du vendredi à 18 heures au lundi matin à la reprise de l’école; chaque mercredi, de 12 heures 30 au jeudi matin à la reprise de l’école; la moitié des vacances scolaires, avec un préavis donné trois mois à l’avance pour les vacances d’été; alternativement à Pâques ou Pentecôte, Noël ou Nouvel An, Ascension ou Jeûne Fédéral. b) Les frais comprennent les frais judiciaires et les dépens (art. 95 al. 1 CPC). Ils sont fixés d'office (art. 105 CPC) selon le tarif (art. 96 CPC) des dépens en matière civile (TDC [Tarif des dépens en matière civile du 23 novembre 2010, RSV 270.11.6]). En principe, la partie succombante (art. 106 al. 1 CPC) doit verser à la partie victorieuse tous les frais nécessaires causés par le litige (art. 37 al. 2 CDPJ [Code de droit privé judiciaire vaudois du 12 janvier 2010, RSV 211.02]). En l’espèce, l’appelante obtient gain de cause, bien que, formellement, elle ait perdu dans une très moindre mesure sur ses conclusions d’appel (droit de visite chaque mercredi fixé dès 12h30 au lieu de 12h00). Les frais judiciaires de deuxième instance, arrêtés à 1'200 fr. (art. 65 al. 2 TFJC [tarif des frais judiciaires civils du 28 septembre 2010, RSV 270.11.5]), soit 600 fr. pour l’appelante (laissés à la charge de l’Etat) et 600 fr. pour l’appelant, sont mis à la charge de l’appelant B.W.________, qui succombe (art. 106 al. 2 CPC). L’appelante a droit à des dépens d'appel, qui sont fixés d'office (art. 105 CPC) selon le tarif des dépens en matière civile. En l'espèce, l’intimé versera à l’appelante le montant de 2'700 fr. à titre de dépens. Pour le cas où cette somme ne pourrait pas être recouvrée, l’indemnité de Me Mélanie Freymond, conseil d’office de A.W.________ pour la procédure de deuxième instance, est arrêtée à 2'278 fr. 80, comprenant un défraiement de 1'860 fr. (10h20 admises – hors ouverture dossier et tentative de téléphone), une indemnité de déplacement de 240 fr., des débours de 10 fr. et la TVA sur ces montants par 168 fr. 80 fr. (art. 2 al. 1 RAJ [règlement du 7 décembre 2010 sur l'assistance judiciaire en matière civile, RSV 211.02.3]) La bénéficiaire de l'assistance judiciaire est tenue, dans la mesure de l’art. 123 CPC, au remboursement des frais judiciaires et de l’indemnité à son conseil d’office mis à la charge de l’Etat. Par ces motifs, le juge délégué de la Cour d’appel civile du Tribunal cantonal, statuant à huis clos, prononce : I. L’appel de B.W.________ est rejeté. II. L’appel de A.W.________ est admis. III. Le prononcé du 16 avril 2014 est réformé comme suit au chiffre I de son dispositif : I. A.W.________ bénéficiera d’un libre et large droit de visite sur les enfants, à convenir d’entente avec B.W.________, ou, à défaut d'accord entre les parties, au minimum un week-end sur deux, du vendredi à 18 heures au lundi matin à la reprise de l’école, à charge pour elle d'aller les chercher là où ils se trouvent et de les ramener à l'école; chaque mercredi à 12 heures 30 au jeudi matin à la reprise de l’école, à charge pour elle d'aller les chercher là où ils se trouvent et de les ramener à l'école; la moitié des vacances scolaires, avec un préavis donné trois mois à l’avance pour les vacances d’été, à charge pour elle d'aller les chercher là où ils se trouvent et de les y ramener; alternativement à Pâques ou Pentecôte, Noël ou Nouvel An, Ascension ou Jeûne Fédéral. Le prononcé est confirmé pour le surplus. IV. Les frais judiciaires de deuxième instance, arrêté à 1'200 fr. (mille deux cents francs), sont mis à la charge de l’appelant  B.W.________. V. L’indemnité d’office de Me Mélanie Freymond, conseil d’office de l’appelante, est arrêtée à 2'278 fr. 80, TVA et débours compris. VI. L’appelant B.W.________ doit verser à l’appelante A.W.________ une indemnité de 2’700 fr. (deux milles sept cents francs) à titre de dépens de deuxième instance. VII. La bénéficiaire de l’assistance judiciaire est tenue, dans la mesure de l’art. 123 CPC, au remboursement de l’indemnité à son conseil d’office mis à la charge de l’Etat. VIII. L’arrêt est exécutoire. Le juge délégué : La greffière : Du 24 décembre 2014 L’arrêt qui précède, dont la rédaction a été approuvée à huis clos, est notifié en expédition complète, par l’envoi de photocopies, à : ‑ Me Mélanie Freymond (pour A.W.________), ‑ Me Irène Wettstein Martin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