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964 vom 19. November 2014</w:t>
      </w:r>
    </w:p>
    <w:p>
      <w:r>
        <w:t>VD Tribunal cantonal, 2014-11-19, FR</w:t>
      </w:r>
    </w:p>
    <w:p>
      <w:r>
        <w:rPr>
          <w:b/>
        </w:rPr>
        <w:t xml:space="preserve">Quelle: </w:t>
      </w:r>
      <w:r>
        <w:t>https://mcp.opencaselaw.ch/entscheid/vd_findinfo_HC___2014___964</w:t>
      </w:r>
    </w:p>
    <w:p>
      <w:r>
        <w:t>FR: VD_FINDINFO HC / 2014 / 964 du 19 novembre 2014</w:t>
      </w:r>
    </w:p>
    <w:p>
      <w:r>
        <w:t>IT: VD_FINDINFO HC / 2014 / 964 del 19 novembre 2014</w:t>
      </w:r>
    </w:p>
    <w:p>
      <w:pPr>
        <w:pStyle w:val="Heading2"/>
      </w:pPr>
      <w:r>
        <w:t>Regeste</w:t>
      </w:r>
    </w:p>
    <w:p>
      <w:r>
        <w:t>MODÉRATION, AVOCAT, HONORAIRES | 45 al. 1 LPAv, 50 al. 1 LPAv</w:t>
      </w:r>
    </w:p>
    <w:p>
      <w:pPr>
        <w:pStyle w:val="Heading2"/>
      </w:pPr>
      <w:r>
        <w:t>Erwägungen</w:t>
      </w:r>
    </w:p>
    <w:p>
      <w:r>
        <w:rPr>
          <w:b/>
        </w:rPr>
        <w:t>E. 1</w:t>
      </w:r>
    </w:p>
    <w:p>
      <w:r>
        <w:t>Aux termes de l'art. 51 LPAv (loi du 24 septembre 2002 sur la profession d'avocat ; RSV 177.11), la décision de modération peut faire l'objet d'un recours, conformément à la loi du 12 septembre 1979 d'organisation judiciaire (LOJV ; RSV 173.01). Celui-ci doit être adressé à la Chambre des recours civile du Tribunal cantonal (art. 73 al. 2 LOJV). Toujours selon l'art. 51 LPAv, le délai de recours est de trente jours dès la notification de la décision et la procédure est fixée par la loi du 28 octobre 2008 sur la procédure administrative (LPA-VD ; RSV 173.36). Selon l'art. 79 al. 1 LPA-VD, applicable par renvoi de l'art. 99 LPA-VD, l'acte de recours doit être signé et indiquer les conclusions et motifs du recours (Jomini, Les honoraires et débours de l'avocat vaudois et leur modération, in JT 1982 III 2 ss, spéc. n. 4, p. 4). Interjeté en temps utile, motivé et signé par une partie qui a un intérêt digne de protection (art. 75 LPA-VD), le recours est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 JT 2003 III 67 c. 1d). En cas d'admission du recours, elle réforme la décision attaquée ou l'annule ; s'il y a lieu, elle renvoie l'affaire à l'autorité intimée (art. 90 LPA-VD, applicable par renvoi de l'art. 99 LPA-VD). Les recourants peuvent présenter des allégués et moyens de preuve qui n’ont pas été invoqués jusque là (art. 79 al. 2, 2 e ph. LPA-VD). En l’espèce, la pièce nouvelle produite par la recourante (annexe 4), soit une copie de la lettre que Me N.________ lui a adressée le 8 mai 2013, est recevable, les autres pièces figurant déjà au dossier de première instance.</w:t>
      </w:r>
    </w:p>
    <w:p>
      <w:r>
        <w:rPr>
          <w:b/>
        </w:rPr>
        <w:t>E. 3.1</w:t>
      </w:r>
    </w:p>
    <w:p>
      <w:r>
        <w:t>La recourante, qui ne conteste pas le tarif horaire de 400 fr. appliqué par l’intimée, fait valoir que certaines opérations de la note d’honoraires litigieuse du 28 mai 2013 sont simples et que leur coût devrait être par conséquent moins élevé. Elle soutient qu’il y a lieu de soustraire de cette note les montants de 1'328 fr. pour les cinq opérations contestées (400 + 64 + 64 + 400 + 400), de 36 fr. 55 pour les frais administratifs et de 44 fr. 70 pour la TVA, si bien que cette note devrait être réduite à 603 fr. 20.</w:t>
      </w:r>
    </w:p>
    <w:p>
      <w:r>
        <w:rPr>
          <w:b/>
        </w:rPr>
        <w:t>E. 3.2</w:t>
      </w:r>
    </w:p>
    <w:p>
      <w:r>
        <w:t>Selon l'art. 45 al. 1 LPAv, l’avocat a droit à des honoraires fixés en tenant compte du temps consacré à l’exécution du mandat, des difficultés et des délais d’exécution de celui-ci, de l’importance des intérêts en cause, du résultat obtenu et de son expérience.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 JT 2003 III 67 c. 1e p. 69 ; TF 4P_342/2006 du</w:t>
      </w:r>
    </w:p>
    <w:p>
      <w:r>
        <w:rPr>
          <w:b/>
        </w:rPr>
        <w:t>E. 3.3</w:t>
      </w:r>
    </w:p>
    <w:p>
      <w:r>
        <w:t>En l’espèce, les opérations facturées (12 minutes pour l’examen du dossier relatif au droit de visite y compris un entretien téléphonique avec la recourante, 15 minutes pour l’examen du dossier relatif à l’ordonnance de mesures provisionnelles y compris un entretien téléphonique avec la recourante, 15 minutes pour l’examen d’un arrêt sur appel, 50 minutes pour cinq courriels, 1 heure et vingt minutes pour la rédaction d’une lettre, d’une procuration et d’un courriel ainsi que la clôture du dossier et deux heures pour l’envoi de vingt mémos) n’apparaissent pas excessives, de sorte qu’il y a lieu de confirmer l’appréciation du premier juge selon laquelle le temps consacré par l’avocate N.________ à l’exécution de son mandat ne semble pas disproportionné aux services rendus. Au vu de ce qui précède, il y a lieu également de confirmer l’appréciation du premier juge selon laquelle les frais administratifs facturés, évaluées globalement, correspondent à la norme s’agissant des opérations effectuées. La recourante conteste également le fait que Me N.________ lui facture des intérêts de retard « alors que cela ne figure pas dans la décision du juge ». On comprend que la recourante se réfère ici au commandement de payer qui lui a été notifié le 4 février 2014. Ce document n’étant pas l’objet du présent recours, ce grief est irrecevable. 4. En conclusion, le recours, manifestement infondé, doit être rejeté selon le mode procédural de l’art. 82 al. 1 LPA-VD et la décision entreprise confirmée. Les frais judiciaires de deuxième instance, arrêtés à 100 fr. (art. 6 et 75 TFJC [tarif des frais judiciaires civils du 28 septembre 2010 ; RSV 270.11.5]), sont mis à la charge de la recourante L.________ qui succombe (art. 49 LPA-VD). Il n’y a pas lieu à l’allocation de dépens de deuxième instance, l’intimée n’ayant pas été invitée à se déterminer. Par ces motifs, la Chambre des recours civile du Tribunal cantonal, statuant à huis clos, en application de l'art. 82 al. 1 LPA-VD, prononce : I. Le recours est rejeté dans la mesure où il est recevable. II. Le prononcé est confirmé. III. Les frais judiciaires de deuxième instance, arrêtés à 100 fr. (cent francs), sont mis à la charge de la recourante L.________. IV. L’arrêt motivé est exécutoire. Le président :               Le greffier : Du 20 novembre 2014 Le dispositif de l'arrêt qui précède est communiqué par écrit aux intéressés. Le greffier : Du L'arrêt qui précède, dont la rédaction a été approuvée à huis clos, est notifié en expédition complète, par l'envoi de photocopies, à : ‑ Mme L.________, ‑ Me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r>
        <w:rPr>
          <w:b/>
        </w:rPr>
        <w:t>E. 5</w:t>
      </w:r>
    </w:p>
    <w:p>
      <w:r>
        <w:t>mars 2007 c. 4.1 et les arrêts cités).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 Bohnet/Martenet, Droit de la profession d'avocat, 2009, n. 2961, pp. 1169-1170).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Le juge modérateur n'a pas à se prononcer sur la manière dont l'avocat s'est acquitté de son mandat : l'examen d'une violation par ce dernier des obligations de son mandat relève en principe du juge civil ordinaire et le juge modérateur doit se borner à taxer les opérations portées en compte au regard des prestations effectivement fournies par l'avocat (JT 1990 III 66 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